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1B7EA6F" w14:textId="77777777" w:rsidR="00A3639B" w:rsidRPr="0093535A" w:rsidRDefault="00A3639B" w:rsidP="00A3639B">
      <w:pPr>
        <w:pStyle w:val="EinfacherAbsatz"/>
        <w:spacing w:line="240" w:lineRule="auto"/>
        <w:jc w:val="center"/>
        <w:rPr>
          <w:rFonts w:ascii="Arial Black" w:eastAsia="ColossalisBold" w:hAnsi="Arial Black" w:cs="Arial"/>
          <w:b/>
          <w:bCs/>
          <w:color w:val="5E175E"/>
          <w:spacing w:val="17"/>
          <w:w w:val="86"/>
          <w:kern w:val="60"/>
          <w:sz w:val="64"/>
          <w:szCs w:val="64"/>
          <w:lang w:val="en-GB"/>
        </w:rPr>
      </w:pPr>
      <w:r w:rsidRPr="0093535A">
        <w:rPr>
          <w:rFonts w:ascii="Arial Black" w:eastAsia="ColossalisBold" w:hAnsi="Arial Black" w:cs="Arial"/>
          <w:b/>
          <w:bCs/>
          <w:color w:val="5E175E"/>
          <w:spacing w:val="17"/>
          <w:w w:val="86"/>
          <w:kern w:val="60"/>
          <w:sz w:val="64"/>
          <w:szCs w:val="64"/>
          <w:lang w:val="en-GB"/>
        </w:rPr>
        <w:t>Intersex Genital Mutilations</w:t>
      </w:r>
    </w:p>
    <w:p w14:paraId="714AE150" w14:textId="77777777" w:rsidR="00A3639B" w:rsidRPr="0093535A" w:rsidRDefault="00A3639B" w:rsidP="00A3639B">
      <w:pPr>
        <w:pStyle w:val="EinfacherAbsatz"/>
        <w:spacing w:line="240" w:lineRule="auto"/>
        <w:jc w:val="center"/>
        <w:rPr>
          <w:rFonts w:ascii="Arial Black" w:eastAsia="ColossalisBold" w:hAnsi="Arial Black" w:cs="Arial"/>
          <w:b/>
          <w:bCs/>
          <w:color w:val="5E175E"/>
          <w:spacing w:val="9"/>
          <w:w w:val="92"/>
          <w:kern w:val="44"/>
          <w:sz w:val="46"/>
          <w:szCs w:val="46"/>
          <w:lang w:val="en-GB"/>
        </w:rPr>
      </w:pPr>
      <w:r w:rsidRPr="0093535A">
        <w:rPr>
          <w:rFonts w:ascii="Arial Black" w:eastAsia="ColossalisBold" w:hAnsi="Arial Black" w:cs="Arial"/>
          <w:b/>
          <w:bCs/>
          <w:color w:val="5E175E"/>
          <w:spacing w:val="9"/>
          <w:w w:val="92"/>
          <w:kern w:val="44"/>
          <w:sz w:val="46"/>
          <w:szCs w:val="46"/>
          <w:lang w:val="en-GB"/>
        </w:rPr>
        <w:t>Human Rights Violations Of Children</w:t>
      </w:r>
    </w:p>
    <w:p w14:paraId="0D6ACB7C" w14:textId="77777777" w:rsidR="00A3639B" w:rsidRPr="0093535A" w:rsidRDefault="00A3639B" w:rsidP="00A3639B">
      <w:pPr>
        <w:pStyle w:val="EinfacherAbsatz"/>
        <w:spacing w:line="240" w:lineRule="auto"/>
        <w:jc w:val="center"/>
        <w:rPr>
          <w:rFonts w:ascii="Times New Roman" w:eastAsia="ColossalisBold" w:hAnsi="Times New Roman" w:cs="Times New Roman"/>
          <w:b/>
          <w:bCs/>
          <w:color w:val="5E175E"/>
          <w:spacing w:val="12"/>
          <w:w w:val="85"/>
          <w:kern w:val="44"/>
          <w:sz w:val="42"/>
          <w:szCs w:val="42"/>
          <w:lang w:val="en-GB"/>
        </w:rPr>
      </w:pPr>
      <w:r w:rsidRPr="0093535A">
        <w:rPr>
          <w:rFonts w:ascii="Arial Black" w:eastAsia="ColossalisBold" w:hAnsi="Arial Black" w:cs="Arial"/>
          <w:b/>
          <w:bCs/>
          <w:color w:val="5E175E"/>
          <w:spacing w:val="12"/>
          <w:w w:val="85"/>
          <w:kern w:val="44"/>
          <w:sz w:val="42"/>
          <w:szCs w:val="42"/>
          <w:lang w:val="en-GB"/>
        </w:rPr>
        <w:t>With Variations Of Reproductive Anatomy</w:t>
      </w:r>
    </w:p>
    <w:p w14:paraId="76E9A310" w14:textId="77777777" w:rsidR="00C23C31" w:rsidRDefault="00C23C31" w:rsidP="00F26D34">
      <w:pPr>
        <w:pStyle w:val="EinfacherAbsatz"/>
        <w:spacing w:line="240" w:lineRule="auto"/>
        <w:rPr>
          <w:rFonts w:ascii="Times New Roman" w:hAnsi="Times New Roman" w:cs="Times New Roman"/>
          <w:b/>
          <w:bCs/>
          <w:color w:val="5E175E"/>
          <w:spacing w:val="16"/>
          <w:w w:val="95"/>
          <w:sz w:val="30"/>
          <w:szCs w:val="30"/>
          <w:lang w:val="en-GB"/>
        </w:rPr>
      </w:pPr>
    </w:p>
    <w:p w14:paraId="6B3F27BB" w14:textId="77777777" w:rsidR="00984A1F" w:rsidRDefault="00984A1F" w:rsidP="00F26D34">
      <w:pPr>
        <w:pStyle w:val="EinfacherAbsatz"/>
        <w:spacing w:line="240" w:lineRule="auto"/>
        <w:rPr>
          <w:rFonts w:ascii="Times New Roman" w:hAnsi="Times New Roman" w:cs="Times New Roman"/>
          <w:b/>
          <w:bCs/>
          <w:color w:val="5E175E"/>
          <w:spacing w:val="16"/>
          <w:w w:val="95"/>
          <w:sz w:val="30"/>
          <w:szCs w:val="30"/>
          <w:lang w:val="en-GB"/>
        </w:rPr>
      </w:pPr>
    </w:p>
    <w:p w14:paraId="70E412CA" w14:textId="77777777" w:rsidR="00984A1F" w:rsidRDefault="00984A1F" w:rsidP="00F26D34">
      <w:pPr>
        <w:pStyle w:val="EinfacherAbsatz"/>
        <w:spacing w:line="240" w:lineRule="auto"/>
        <w:rPr>
          <w:rFonts w:ascii="Times New Roman" w:hAnsi="Times New Roman" w:cs="Times New Roman"/>
          <w:b/>
          <w:bCs/>
          <w:color w:val="5E175E"/>
          <w:spacing w:val="16"/>
          <w:w w:val="95"/>
          <w:sz w:val="30"/>
          <w:szCs w:val="30"/>
          <w:lang w:val="en-GB"/>
        </w:rPr>
      </w:pPr>
    </w:p>
    <w:p w14:paraId="7C2189C1" w14:textId="77777777" w:rsidR="00C23C31" w:rsidRDefault="00C23C31" w:rsidP="00F26D34">
      <w:pPr>
        <w:pStyle w:val="EinfacherAbsatz"/>
        <w:spacing w:line="240" w:lineRule="auto"/>
        <w:rPr>
          <w:rFonts w:ascii="Times New Roman" w:hAnsi="Times New Roman" w:cs="Times New Roman"/>
          <w:b/>
          <w:bCs/>
          <w:color w:val="5E175E"/>
          <w:spacing w:val="16"/>
          <w:w w:val="95"/>
          <w:sz w:val="30"/>
          <w:szCs w:val="30"/>
          <w:lang w:val="en-GB"/>
        </w:rPr>
      </w:pPr>
    </w:p>
    <w:p w14:paraId="2DAEB583" w14:textId="77777777" w:rsidR="00C23C31" w:rsidRDefault="00C23C31" w:rsidP="00F26D34">
      <w:pPr>
        <w:pStyle w:val="EinfacherAbsatz"/>
        <w:spacing w:line="240" w:lineRule="auto"/>
        <w:rPr>
          <w:rFonts w:ascii="Times New Roman" w:hAnsi="Times New Roman" w:cs="Times New Roman"/>
          <w:b/>
          <w:bCs/>
          <w:color w:val="5E175E"/>
          <w:spacing w:val="16"/>
          <w:w w:val="95"/>
          <w:sz w:val="30"/>
          <w:szCs w:val="30"/>
          <w:lang w:val="en-GB"/>
        </w:rPr>
      </w:pPr>
    </w:p>
    <w:p w14:paraId="689B6AE1" w14:textId="77777777" w:rsidR="00C23C31" w:rsidRPr="008521EA" w:rsidRDefault="00C23C31" w:rsidP="00F26D34">
      <w:pPr>
        <w:pStyle w:val="EinfacherAbsatz"/>
        <w:spacing w:line="240" w:lineRule="auto"/>
        <w:rPr>
          <w:rFonts w:ascii="Times New Roman" w:hAnsi="Times New Roman" w:cs="Times New Roman"/>
          <w:b/>
          <w:bCs/>
          <w:color w:val="5E175E"/>
          <w:spacing w:val="16"/>
          <w:w w:val="95"/>
          <w:sz w:val="30"/>
          <w:szCs w:val="30"/>
          <w:lang w:val="en-GB"/>
        </w:rPr>
      </w:pPr>
    </w:p>
    <w:p w14:paraId="56F5CC55" w14:textId="4A1ABA5F" w:rsidR="00C72D2C" w:rsidRDefault="00D830D3" w:rsidP="00D830D3">
      <w:pPr>
        <w:pStyle w:val="EinfacherAbsatz"/>
        <w:spacing w:line="240" w:lineRule="auto"/>
        <w:jc w:val="center"/>
        <w:rPr>
          <w:rFonts w:ascii="Times New Roman" w:hAnsi="Times New Roman" w:cs="Times New Roman"/>
          <w:b/>
          <w:bCs/>
          <w:color w:val="5E175E"/>
          <w:spacing w:val="16"/>
          <w:w w:val="95"/>
          <w:sz w:val="30"/>
          <w:szCs w:val="30"/>
          <w:lang w:val="en-GB"/>
        </w:rPr>
      </w:pPr>
      <w:r>
        <w:rPr>
          <w:rFonts w:ascii="Times New Roman" w:hAnsi="Times New Roman" w:cs="Times New Roman"/>
          <w:b/>
          <w:bCs/>
          <w:noProof/>
          <w:color w:val="5E175E"/>
          <w:spacing w:val="16"/>
          <w:w w:val="95"/>
          <w:sz w:val="30"/>
          <w:szCs w:val="30"/>
          <w:lang w:val="en-GB" w:eastAsia="en-GB" w:bidi="ar-SA"/>
        </w:rPr>
        <w:lastRenderedPageBreak/>
        <w:drawing>
          <wp:inline distT="0" distB="0" distL="0" distR="0" wp14:anchorId="7E6C9F5B" wp14:editId="7D938ACE">
            <wp:extent cx="6096000" cy="36957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nsbruck_ESPU_7-5-2014_0146_CEDAW_w.jpg"/>
                    <pic:cNvPicPr/>
                  </pic:nvPicPr>
                  <pic:blipFill>
                    <a:blip r:embed="rId8"/>
                    <a:stretch>
                      <a:fillRect/>
                    </a:stretch>
                  </pic:blipFill>
                  <pic:spPr>
                    <a:xfrm>
                      <a:off x="0" y="0"/>
                      <a:ext cx="6096000" cy="3695700"/>
                    </a:xfrm>
                    <a:prstGeom prst="rect">
                      <a:avLst/>
                    </a:prstGeom>
                  </pic:spPr>
                </pic:pic>
              </a:graphicData>
            </a:graphic>
          </wp:inline>
        </w:drawing>
      </w:r>
    </w:p>
    <w:p w14:paraId="6F0377FF" w14:textId="77777777" w:rsidR="00C72D2C" w:rsidRPr="00C72D2C" w:rsidRDefault="00C72D2C" w:rsidP="00345E3F">
      <w:pPr>
        <w:pStyle w:val="EinfacherAbsatz"/>
        <w:spacing w:line="240" w:lineRule="auto"/>
        <w:rPr>
          <w:rFonts w:ascii="Times New Roman" w:hAnsi="Times New Roman" w:cs="Times New Roman"/>
          <w:b/>
          <w:bCs/>
          <w:color w:val="5E175E"/>
          <w:spacing w:val="16"/>
          <w:w w:val="95"/>
          <w:sz w:val="30"/>
          <w:szCs w:val="30"/>
          <w:lang w:val="en-GB"/>
        </w:rPr>
      </w:pPr>
    </w:p>
    <w:p w14:paraId="65BF991A" w14:textId="77777777" w:rsidR="000B6B8F" w:rsidRDefault="000B6B8F" w:rsidP="00345E3F">
      <w:pPr>
        <w:pStyle w:val="EinfacherAbsatz"/>
        <w:spacing w:line="240" w:lineRule="auto"/>
        <w:rPr>
          <w:rFonts w:ascii="Times New Roman" w:hAnsi="Times New Roman" w:cs="Times New Roman"/>
          <w:b/>
          <w:bCs/>
          <w:color w:val="5E175E"/>
          <w:spacing w:val="16"/>
          <w:w w:val="95"/>
          <w:sz w:val="30"/>
          <w:szCs w:val="30"/>
          <w:lang w:val="en-GB"/>
        </w:rPr>
      </w:pPr>
    </w:p>
    <w:p w14:paraId="2D602ACE" w14:textId="77777777" w:rsidR="00C23C31" w:rsidRDefault="00C23C31" w:rsidP="00345E3F">
      <w:pPr>
        <w:pStyle w:val="EinfacherAbsatz"/>
        <w:spacing w:line="240" w:lineRule="auto"/>
        <w:rPr>
          <w:rFonts w:ascii="Times New Roman" w:hAnsi="Times New Roman" w:cs="Times New Roman"/>
          <w:b/>
          <w:bCs/>
          <w:color w:val="5E175E"/>
          <w:spacing w:val="16"/>
          <w:w w:val="95"/>
          <w:sz w:val="30"/>
          <w:szCs w:val="30"/>
          <w:lang w:val="en-GB"/>
        </w:rPr>
      </w:pPr>
    </w:p>
    <w:p w14:paraId="5D56FE58" w14:textId="77777777" w:rsidR="00C23C31" w:rsidRDefault="00C23C31" w:rsidP="00345E3F">
      <w:pPr>
        <w:pStyle w:val="EinfacherAbsatz"/>
        <w:spacing w:line="240" w:lineRule="auto"/>
        <w:rPr>
          <w:rFonts w:ascii="Times New Roman" w:hAnsi="Times New Roman" w:cs="Times New Roman"/>
          <w:b/>
          <w:bCs/>
          <w:color w:val="5E175E"/>
          <w:spacing w:val="16"/>
          <w:w w:val="95"/>
          <w:sz w:val="30"/>
          <w:szCs w:val="30"/>
          <w:lang w:val="en-GB"/>
        </w:rPr>
      </w:pPr>
    </w:p>
    <w:p w14:paraId="4DD8EF6D" w14:textId="77777777" w:rsidR="00C23C31" w:rsidRDefault="00C23C31" w:rsidP="00C23C31">
      <w:pPr>
        <w:pStyle w:val="EinfacherAbsatz"/>
        <w:tabs>
          <w:tab w:val="left" w:pos="1329"/>
        </w:tabs>
        <w:spacing w:line="240" w:lineRule="auto"/>
        <w:rPr>
          <w:rFonts w:ascii="Times New Roman" w:hAnsi="Times New Roman" w:cs="Times New Roman"/>
          <w:b/>
          <w:bCs/>
          <w:color w:val="5E175E"/>
          <w:spacing w:val="16"/>
          <w:w w:val="95"/>
          <w:sz w:val="30"/>
          <w:szCs w:val="30"/>
          <w:lang w:val="en-GB"/>
        </w:rPr>
      </w:pPr>
    </w:p>
    <w:p w14:paraId="59BE5C59" w14:textId="77777777" w:rsidR="00C23C31" w:rsidRPr="00C72D2C" w:rsidRDefault="00C23C31" w:rsidP="00345E3F">
      <w:pPr>
        <w:pStyle w:val="EinfacherAbsatz"/>
        <w:spacing w:line="240" w:lineRule="auto"/>
        <w:rPr>
          <w:rFonts w:ascii="Times New Roman" w:hAnsi="Times New Roman" w:cs="Times New Roman"/>
          <w:b/>
          <w:bCs/>
          <w:color w:val="5E175E"/>
          <w:spacing w:val="16"/>
          <w:w w:val="95"/>
          <w:sz w:val="30"/>
          <w:szCs w:val="30"/>
          <w:lang w:val="en-GB"/>
        </w:rPr>
      </w:pPr>
    </w:p>
    <w:p w14:paraId="3F5CA18C" w14:textId="2ABEEEC7" w:rsidR="008D4606" w:rsidRPr="008521EA" w:rsidRDefault="0010186B" w:rsidP="008D4606">
      <w:pPr>
        <w:pStyle w:val="EinfacherAbsatz"/>
        <w:spacing w:line="240" w:lineRule="auto"/>
        <w:rPr>
          <w:rFonts w:ascii="Arial Black" w:eastAsia="ColossalisBold" w:hAnsi="Arial Black" w:cs="Arial"/>
          <w:b/>
          <w:bCs/>
          <w:color w:val="5E175E"/>
          <w:spacing w:val="11"/>
          <w:w w:val="95"/>
          <w:sz w:val="36"/>
          <w:szCs w:val="36"/>
          <w:lang w:val="en-GB"/>
        </w:rPr>
      </w:pPr>
      <w:r>
        <w:rPr>
          <w:rFonts w:ascii="Arial Black" w:eastAsia="ColossalisBold" w:hAnsi="Arial Black" w:cs="Arial"/>
          <w:b/>
          <w:bCs/>
          <w:color w:val="5E175E"/>
          <w:spacing w:val="11"/>
          <w:w w:val="95"/>
          <w:sz w:val="36"/>
          <w:szCs w:val="36"/>
          <w:lang w:val="en-GB"/>
        </w:rPr>
        <w:t xml:space="preserve">NGO Report (for </w:t>
      </w:r>
      <w:r w:rsidR="004E1DF1">
        <w:rPr>
          <w:rFonts w:ascii="Arial Black" w:eastAsia="ColossalisBold" w:hAnsi="Arial Black" w:cs="Arial"/>
          <w:b/>
          <w:bCs/>
          <w:color w:val="5E175E"/>
          <w:spacing w:val="11"/>
          <w:w w:val="95"/>
          <w:sz w:val="36"/>
          <w:szCs w:val="36"/>
          <w:lang w:val="en-GB"/>
        </w:rPr>
        <w:t>Session</w:t>
      </w:r>
      <w:r w:rsidR="008D4606" w:rsidRPr="008521EA">
        <w:rPr>
          <w:rFonts w:ascii="Arial Black" w:eastAsia="ColossalisBold" w:hAnsi="Arial Black" w:cs="Arial"/>
          <w:b/>
          <w:bCs/>
          <w:color w:val="5E175E"/>
          <w:spacing w:val="11"/>
          <w:w w:val="95"/>
          <w:sz w:val="36"/>
          <w:szCs w:val="36"/>
          <w:lang w:val="en-GB"/>
        </w:rPr>
        <w:t>)</w:t>
      </w:r>
    </w:p>
    <w:p w14:paraId="5FAE5033" w14:textId="21FC4BB3" w:rsidR="008D4606" w:rsidRDefault="008D4606" w:rsidP="008D4606">
      <w:pPr>
        <w:pStyle w:val="EinfacherAbsatz"/>
        <w:spacing w:line="240" w:lineRule="auto"/>
        <w:rPr>
          <w:rFonts w:ascii="Arial Black" w:eastAsia="ColossalisBold" w:hAnsi="Arial Black" w:cs="Arial"/>
          <w:b/>
          <w:bCs/>
          <w:color w:val="5E175E"/>
          <w:w w:val="85"/>
          <w:kern w:val="34"/>
          <w:sz w:val="34"/>
          <w:szCs w:val="34"/>
          <w:lang w:val="en-GB"/>
        </w:rPr>
      </w:pPr>
      <w:r w:rsidRPr="008521EA">
        <w:rPr>
          <w:rFonts w:ascii="Arial Black" w:eastAsia="ColossalisBold" w:hAnsi="Arial Black" w:cs="Arial"/>
          <w:b/>
          <w:bCs/>
          <w:color w:val="5E175E"/>
          <w:w w:val="85"/>
          <w:kern w:val="34"/>
          <w:sz w:val="34"/>
          <w:szCs w:val="34"/>
          <w:lang w:val="en-GB"/>
        </w:rPr>
        <w:t xml:space="preserve">to the </w:t>
      </w:r>
      <w:r w:rsidR="0010186B">
        <w:rPr>
          <w:rFonts w:ascii="Arial Black" w:eastAsia="ColossalisBold" w:hAnsi="Arial Black" w:cs="Arial"/>
          <w:b/>
          <w:bCs/>
          <w:color w:val="5E175E"/>
          <w:w w:val="85"/>
          <w:kern w:val="34"/>
          <w:sz w:val="34"/>
          <w:szCs w:val="34"/>
          <w:lang w:val="en-GB"/>
        </w:rPr>
        <w:t>9</w:t>
      </w:r>
      <w:r w:rsidR="0010186B" w:rsidRPr="0010186B">
        <w:rPr>
          <w:rFonts w:ascii="Arial Black" w:eastAsia="ColossalisBold" w:hAnsi="Arial Black" w:cs="Arial"/>
          <w:b/>
          <w:bCs/>
          <w:color w:val="5E175E"/>
          <w:w w:val="85"/>
          <w:kern w:val="34"/>
          <w:sz w:val="34"/>
          <w:szCs w:val="34"/>
          <w:vertAlign w:val="superscript"/>
          <w:lang w:val="en-GB"/>
        </w:rPr>
        <w:t>th</w:t>
      </w:r>
      <w:r w:rsidRPr="008521EA">
        <w:rPr>
          <w:rFonts w:ascii="Arial Black" w:eastAsia="ColossalisBold" w:hAnsi="Arial Black" w:cs="Arial"/>
          <w:b/>
          <w:bCs/>
          <w:color w:val="5E175E"/>
          <w:w w:val="85"/>
          <w:kern w:val="34"/>
          <w:sz w:val="34"/>
          <w:szCs w:val="34"/>
          <w:lang w:val="en-GB"/>
        </w:rPr>
        <w:t xml:space="preserve"> Periodic Report of </w:t>
      </w:r>
      <w:r w:rsidR="00133FB7">
        <w:rPr>
          <w:rFonts w:ascii="Arial Black" w:eastAsia="ColossalisBold" w:hAnsi="Arial Black" w:cs="Arial"/>
          <w:b/>
          <w:bCs/>
          <w:color w:val="5E175E"/>
          <w:w w:val="95"/>
          <w:kern w:val="34"/>
          <w:sz w:val="34"/>
          <w:szCs w:val="34"/>
          <w:lang w:val="en-GB"/>
        </w:rPr>
        <w:t>Austria</w:t>
      </w:r>
    </w:p>
    <w:p w14:paraId="41B39CAF" w14:textId="77777777" w:rsidR="0010186B" w:rsidRDefault="0010186B" w:rsidP="0010186B">
      <w:pPr>
        <w:pStyle w:val="EinfacherAbsatz"/>
        <w:spacing w:line="240" w:lineRule="auto"/>
        <w:rPr>
          <w:rFonts w:ascii="Arial Black" w:eastAsia="ColossalisBold" w:hAnsi="Arial Black" w:cs="Arial"/>
          <w:b/>
          <w:bCs/>
          <w:color w:val="5E175E"/>
          <w:w w:val="85"/>
          <w:kern w:val="34"/>
          <w:sz w:val="34"/>
          <w:szCs w:val="34"/>
          <w:lang w:val="en-GB"/>
        </w:rPr>
      </w:pPr>
      <w:r w:rsidRPr="0010186B">
        <w:rPr>
          <w:rFonts w:ascii="Arial Black" w:eastAsia="ColossalisBold" w:hAnsi="Arial Black" w:cs="Arial"/>
          <w:b/>
          <w:bCs/>
          <w:color w:val="5E175E"/>
          <w:w w:val="85"/>
          <w:kern w:val="34"/>
          <w:sz w:val="34"/>
          <w:szCs w:val="34"/>
          <w:lang w:val="en-GB"/>
        </w:rPr>
        <w:t>on the Convention on the Elimination of</w:t>
      </w:r>
      <w:r>
        <w:rPr>
          <w:rFonts w:ascii="Arial Black" w:eastAsia="ColossalisBold" w:hAnsi="Arial Black" w:cs="Arial"/>
          <w:b/>
          <w:bCs/>
          <w:color w:val="5E175E"/>
          <w:w w:val="85"/>
          <w:kern w:val="34"/>
          <w:sz w:val="34"/>
          <w:szCs w:val="34"/>
          <w:lang w:val="en-GB"/>
        </w:rPr>
        <w:t xml:space="preserve"> </w:t>
      </w:r>
    </w:p>
    <w:p w14:paraId="34D38147" w14:textId="228EAFD5" w:rsidR="0010186B" w:rsidRPr="008521EA" w:rsidRDefault="0010186B" w:rsidP="0010186B">
      <w:pPr>
        <w:pStyle w:val="EinfacherAbsatz"/>
        <w:rPr>
          <w:rFonts w:ascii="Arial Black" w:eastAsia="ColossalisBold" w:hAnsi="Arial Black" w:cs="Arial"/>
          <w:b/>
          <w:bCs/>
          <w:color w:val="5E175E"/>
          <w:w w:val="85"/>
          <w:kern w:val="34"/>
          <w:sz w:val="34"/>
          <w:szCs w:val="34"/>
          <w:lang w:val="en-GB"/>
        </w:rPr>
      </w:pPr>
      <w:r w:rsidRPr="0010186B">
        <w:rPr>
          <w:rFonts w:ascii="Arial Black" w:eastAsia="ColossalisBold" w:hAnsi="Arial Black" w:cs="Arial"/>
          <w:b/>
          <w:bCs/>
          <w:color w:val="5E175E"/>
          <w:w w:val="85"/>
          <w:kern w:val="34"/>
          <w:sz w:val="34"/>
          <w:szCs w:val="34"/>
          <w:lang w:val="en-GB"/>
        </w:rPr>
        <w:lastRenderedPageBreak/>
        <w:t xml:space="preserve">All Forms of Discrimination against Women </w:t>
      </w:r>
      <w:r w:rsidRPr="0010186B">
        <w:rPr>
          <w:rFonts w:ascii="Arial Black" w:eastAsia="ColossalisBold" w:hAnsi="Arial Black" w:cs="Arial"/>
          <w:b/>
          <w:bCs/>
          <w:color w:val="5E175E"/>
          <w:w w:val="90"/>
          <w:kern w:val="34"/>
          <w:sz w:val="34"/>
          <w:szCs w:val="34"/>
          <w:lang w:val="en-GB"/>
        </w:rPr>
        <w:t>(CEDAW)</w:t>
      </w:r>
    </w:p>
    <w:p w14:paraId="3C556CA8" w14:textId="3A70D962" w:rsidR="00B340CD" w:rsidRPr="008521EA" w:rsidRDefault="00B340CD" w:rsidP="00B340CD">
      <w:pPr>
        <w:pStyle w:val="EinfacherAbsatz"/>
        <w:pageBreakBefore/>
        <w:rPr>
          <w:rFonts w:cs="Times New Roman"/>
          <w:lang w:val="en-GB"/>
        </w:rPr>
      </w:pPr>
      <w:r w:rsidRPr="008521EA">
        <w:rPr>
          <w:rFonts w:cs="Arial"/>
          <w:b/>
          <w:sz w:val="28"/>
          <w:szCs w:val="28"/>
          <w:lang w:val="en-GB"/>
        </w:rPr>
        <w:lastRenderedPageBreak/>
        <w:t>Compiled by:</w:t>
      </w:r>
    </w:p>
    <w:p w14:paraId="34363097" w14:textId="77777777" w:rsidR="00B340CD" w:rsidRPr="008521EA" w:rsidRDefault="00B340CD" w:rsidP="00CE680A">
      <w:pPr>
        <w:pStyle w:val="absatzschattenbericht"/>
      </w:pPr>
    </w:p>
    <w:p w14:paraId="1DF2D63E" w14:textId="77777777" w:rsidR="00B340CD" w:rsidRPr="008521EA" w:rsidRDefault="00B340CD" w:rsidP="00CE680A">
      <w:pPr>
        <w:pStyle w:val="absatzschattenbericht"/>
      </w:pPr>
    </w:p>
    <w:p w14:paraId="60763631" w14:textId="77777777" w:rsidR="009F0F1C" w:rsidRPr="00E218B4" w:rsidRDefault="009F0F1C" w:rsidP="00CE680A">
      <w:pPr>
        <w:pStyle w:val="absatzschattenbericht"/>
        <w:rPr>
          <w:lang w:val="de-CH"/>
        </w:rPr>
      </w:pPr>
      <w:bookmarkStart w:id="0" w:name="_GoBack"/>
      <w:r w:rsidRPr="00E218B4">
        <w:rPr>
          <w:rFonts w:eastAsia="Baskerville-Bold"/>
          <w:b/>
          <w:bCs/>
          <w:lang w:val="de-CH"/>
        </w:rPr>
        <w:t>StopIGM.org / Zwischengeschlecht.org</w:t>
      </w:r>
      <w:r w:rsidRPr="00E218B4">
        <w:rPr>
          <w:lang w:val="de-CH"/>
        </w:rPr>
        <w:t xml:space="preserve"> </w:t>
      </w:r>
      <w:bookmarkEnd w:id="0"/>
      <w:r w:rsidRPr="00E218B4">
        <w:rPr>
          <w:lang w:val="de-CH"/>
        </w:rPr>
        <w:t>(International Intersex Human Rights NGO)</w:t>
      </w:r>
    </w:p>
    <w:p w14:paraId="3209F122" w14:textId="77777777" w:rsidR="009F0F1C" w:rsidRPr="00E218B4" w:rsidRDefault="009F0F1C" w:rsidP="00CE680A">
      <w:pPr>
        <w:pStyle w:val="absatzschattenbericht"/>
        <w:rPr>
          <w:rFonts w:eastAsia="Baskerville-Italic"/>
          <w:i/>
          <w:iCs/>
          <w:lang w:val="de-CH"/>
        </w:rPr>
      </w:pPr>
      <w:r w:rsidRPr="00E218B4">
        <w:rPr>
          <w:lang w:val="de-CH"/>
        </w:rPr>
        <w:t>Markus Bauer, Daniela Truffer</w:t>
      </w:r>
    </w:p>
    <w:p w14:paraId="42747E71" w14:textId="77777777" w:rsidR="009F0F1C" w:rsidRPr="002B0373" w:rsidRDefault="009F0F1C" w:rsidP="00CE680A">
      <w:pPr>
        <w:pStyle w:val="absatzschattenbericht"/>
        <w:rPr>
          <w:lang w:val="de-CH"/>
        </w:rPr>
      </w:pPr>
      <w:r w:rsidRPr="002B0373">
        <w:rPr>
          <w:lang w:val="de-CH"/>
        </w:rPr>
        <w:t>Zwischengeschlecht.org</w:t>
      </w:r>
    </w:p>
    <w:p w14:paraId="0A238DC5" w14:textId="77777777" w:rsidR="009F0F1C" w:rsidRPr="002B0373" w:rsidRDefault="009F0F1C" w:rsidP="00CE680A">
      <w:pPr>
        <w:pStyle w:val="absatzschattenbericht"/>
        <w:rPr>
          <w:lang w:val="de-CH"/>
        </w:rPr>
      </w:pPr>
      <w:r w:rsidRPr="002B0373">
        <w:rPr>
          <w:lang w:val="de-CH"/>
        </w:rPr>
        <w:t>P.O.Box 2122</w:t>
      </w:r>
    </w:p>
    <w:p w14:paraId="11027471" w14:textId="77777777" w:rsidR="009F0F1C" w:rsidRPr="002B0373" w:rsidRDefault="009F0F1C" w:rsidP="00CE680A">
      <w:pPr>
        <w:pStyle w:val="absatzschattenbericht"/>
        <w:rPr>
          <w:lang w:val="de-CH"/>
        </w:rPr>
      </w:pPr>
      <w:r w:rsidRPr="002B0373">
        <w:rPr>
          <w:lang w:val="de-CH"/>
        </w:rPr>
        <w:t>CH-8031 Zurich</w:t>
      </w:r>
    </w:p>
    <w:p w14:paraId="2639DD88" w14:textId="77777777" w:rsidR="009F0F1C" w:rsidRPr="000D6C7B" w:rsidRDefault="009F0F1C" w:rsidP="00CE680A">
      <w:pPr>
        <w:pStyle w:val="absatzschattenbericht"/>
        <w:rPr>
          <w:rStyle w:val="url"/>
          <w:rFonts w:eastAsia="Baskerville-Italic" w:cs="Times New Roman"/>
          <w:i/>
          <w:iCs/>
          <w:lang w:val="de-CH"/>
        </w:rPr>
      </w:pPr>
      <w:r w:rsidRPr="002B0373">
        <w:rPr>
          <w:lang w:val="de-CH"/>
        </w:rPr>
        <w:t>info_at_zwischengeschlecht.org</w:t>
      </w:r>
    </w:p>
    <w:p w14:paraId="14F47304" w14:textId="77777777" w:rsidR="009F0F1C" w:rsidRPr="000D6C7B" w:rsidRDefault="00AD4F28" w:rsidP="00CE680A">
      <w:pPr>
        <w:pStyle w:val="absatzschattenbericht"/>
        <w:rPr>
          <w:rStyle w:val="url"/>
          <w:rFonts w:eastAsia="Baskerville-Italic" w:cs="Times New Roman"/>
          <w:i/>
          <w:iCs/>
          <w:lang w:val="de-CH"/>
        </w:rPr>
      </w:pPr>
      <w:hyperlink r:id="rId9" w:history="1">
        <w:r w:rsidR="009F0F1C" w:rsidRPr="000D6C7B">
          <w:rPr>
            <w:rStyle w:val="Hyperlink"/>
            <w:rFonts w:eastAsia="Baskerville-Italic" w:cs="Times New Roman"/>
            <w:i/>
            <w:iCs/>
            <w:lang w:val="de-CH"/>
          </w:rPr>
          <w:t>http://Zwischengeschlecht.org/</w:t>
        </w:r>
      </w:hyperlink>
      <w:r w:rsidR="009F0F1C" w:rsidRPr="000D6C7B">
        <w:rPr>
          <w:rStyle w:val="url"/>
          <w:rFonts w:eastAsia="Baskerville-Italic" w:cs="Times New Roman"/>
          <w:i/>
          <w:iCs/>
          <w:lang w:val="de-CH"/>
        </w:rPr>
        <w:t xml:space="preserve"> </w:t>
      </w:r>
    </w:p>
    <w:p w14:paraId="00ED144F" w14:textId="318696C2" w:rsidR="009F0F1C" w:rsidRPr="002B0373" w:rsidRDefault="00AD4F28" w:rsidP="00CE680A">
      <w:pPr>
        <w:pStyle w:val="absatzschattenbericht"/>
        <w:rPr>
          <w:rFonts w:cs="Times New Roman"/>
          <w:sz w:val="22"/>
          <w:szCs w:val="22"/>
          <w:lang w:val="de-CH"/>
        </w:rPr>
      </w:pPr>
      <w:hyperlink r:id="rId10" w:history="1">
        <w:r w:rsidR="00A3639B" w:rsidRPr="00AD3947">
          <w:rPr>
            <w:rStyle w:val="Hyperlink"/>
            <w:rFonts w:eastAsia="Baskerville-Italic" w:cs="Times New Roman"/>
            <w:i/>
            <w:iCs/>
            <w:lang w:val="de-CH"/>
          </w:rPr>
          <w:t>http://stop.genitalmutilation.org/</w:t>
        </w:r>
      </w:hyperlink>
      <w:r w:rsidR="00A3639B" w:rsidRPr="002B0373">
        <w:rPr>
          <w:rFonts w:eastAsia="Baskerville-Italic" w:cs="Times New Roman"/>
          <w:i/>
          <w:iCs/>
          <w:lang w:val="de-CH"/>
        </w:rPr>
        <w:t xml:space="preserve"> </w:t>
      </w:r>
    </w:p>
    <w:p w14:paraId="09A9093A" w14:textId="77777777" w:rsidR="00B340CD" w:rsidRPr="002B0373" w:rsidRDefault="00B340CD" w:rsidP="00CE680A">
      <w:pPr>
        <w:pStyle w:val="absatzschattenbericht"/>
        <w:rPr>
          <w:lang w:val="de-CH"/>
        </w:rPr>
      </w:pPr>
    </w:p>
    <w:p w14:paraId="053C633A" w14:textId="77777777" w:rsidR="00B340CD" w:rsidRPr="002B0373" w:rsidRDefault="00B340CD" w:rsidP="00CE680A">
      <w:pPr>
        <w:pStyle w:val="absatzschattenbericht"/>
        <w:rPr>
          <w:lang w:val="de-CH"/>
        </w:rPr>
      </w:pPr>
    </w:p>
    <w:p w14:paraId="75AC5CE5" w14:textId="77777777" w:rsidR="00B340CD" w:rsidRPr="002B0373" w:rsidRDefault="00B340CD" w:rsidP="00CE680A">
      <w:pPr>
        <w:pStyle w:val="absatzschattenbericht"/>
        <w:rPr>
          <w:lang w:val="de-CH"/>
        </w:rPr>
      </w:pPr>
    </w:p>
    <w:p w14:paraId="7074B6B9" w14:textId="77777777" w:rsidR="00B340CD" w:rsidRPr="002B0373" w:rsidRDefault="00B340CD" w:rsidP="00CE680A">
      <w:pPr>
        <w:pStyle w:val="absatzschattenbericht"/>
        <w:rPr>
          <w:lang w:val="de-CH"/>
        </w:rPr>
      </w:pPr>
    </w:p>
    <w:p w14:paraId="78B7673B" w14:textId="77777777" w:rsidR="00B340CD" w:rsidRPr="002B0373" w:rsidRDefault="00B340CD" w:rsidP="00CE680A">
      <w:pPr>
        <w:pStyle w:val="absatzschattenbericht"/>
        <w:rPr>
          <w:lang w:val="de-CH"/>
        </w:rPr>
      </w:pPr>
    </w:p>
    <w:p w14:paraId="2F00475C" w14:textId="77777777" w:rsidR="00B340CD" w:rsidRPr="002B0373" w:rsidRDefault="00B340CD" w:rsidP="00CE680A">
      <w:pPr>
        <w:pStyle w:val="absatzschattenbericht"/>
        <w:rPr>
          <w:lang w:val="de-CH"/>
        </w:rPr>
      </w:pPr>
    </w:p>
    <w:p w14:paraId="20820E0A" w14:textId="77777777" w:rsidR="00D922A4" w:rsidRPr="002B0373" w:rsidRDefault="00D922A4" w:rsidP="00CE680A">
      <w:pPr>
        <w:pStyle w:val="absatzschattenbericht"/>
        <w:rPr>
          <w:lang w:val="de-CH"/>
        </w:rPr>
      </w:pPr>
    </w:p>
    <w:p w14:paraId="38BE50E4" w14:textId="77777777" w:rsidR="00B340CD" w:rsidRPr="002B0373" w:rsidRDefault="00B340CD" w:rsidP="00CE680A">
      <w:pPr>
        <w:pStyle w:val="absatzschattenbericht"/>
        <w:rPr>
          <w:lang w:val="de-CH"/>
        </w:rPr>
      </w:pPr>
    </w:p>
    <w:p w14:paraId="783204B4" w14:textId="138C6C0B" w:rsidR="00B340CD" w:rsidRPr="00553E82" w:rsidRDefault="004E1DF1" w:rsidP="00CE680A">
      <w:pPr>
        <w:pStyle w:val="absatzschattenbericht"/>
        <w:rPr>
          <w:b/>
        </w:rPr>
      </w:pPr>
      <w:r w:rsidRPr="00553E82">
        <w:rPr>
          <w:b/>
        </w:rPr>
        <w:t>June 2019</w:t>
      </w:r>
      <w:r w:rsidR="00553E82" w:rsidRPr="00553E82">
        <w:rPr>
          <w:b/>
        </w:rPr>
        <w:t xml:space="preserve">    </w:t>
      </w:r>
    </w:p>
    <w:p w14:paraId="31EB7157" w14:textId="77777777" w:rsidR="00B340CD" w:rsidRPr="008521EA" w:rsidRDefault="00B340CD" w:rsidP="00CE680A">
      <w:pPr>
        <w:pStyle w:val="absatzschattenbericht"/>
      </w:pPr>
    </w:p>
    <w:p w14:paraId="3067EB80" w14:textId="77777777" w:rsidR="00B340CD" w:rsidRDefault="00B340CD" w:rsidP="00CE680A">
      <w:pPr>
        <w:pStyle w:val="absatzschattenbericht"/>
      </w:pPr>
    </w:p>
    <w:p w14:paraId="37B05691" w14:textId="77777777" w:rsidR="00D922A4" w:rsidRPr="008521EA" w:rsidRDefault="00D922A4" w:rsidP="00CE680A">
      <w:pPr>
        <w:pStyle w:val="absatzschattenbericht"/>
      </w:pPr>
    </w:p>
    <w:p w14:paraId="1DC25FA0" w14:textId="1624557C" w:rsidR="00B340CD" w:rsidRPr="009F0F1C" w:rsidRDefault="00B340CD" w:rsidP="00CE680A">
      <w:pPr>
        <w:pStyle w:val="absatzschattenbericht"/>
        <w:rPr>
          <w:rFonts w:eastAsia="ArialMT"/>
        </w:rPr>
      </w:pPr>
      <w:bookmarkStart w:id="1" w:name="__RefHeading___Toc472687681"/>
      <w:bookmarkStart w:id="2" w:name="_Toc486260330"/>
      <w:bookmarkEnd w:id="1"/>
      <w:r w:rsidRPr="00553E82">
        <w:rPr>
          <w:b/>
        </w:rPr>
        <w:t>This NGO Report online</w:t>
      </w:r>
      <w:r w:rsidRPr="009F0F1C">
        <w:t>:</w:t>
      </w:r>
      <w:r w:rsidR="00553E82">
        <w:t xml:space="preserve">   </w:t>
      </w:r>
    </w:p>
    <w:p w14:paraId="357FF01E" w14:textId="6EC4BB46" w:rsidR="00133FB7" w:rsidRPr="000D6B99" w:rsidRDefault="00133FB7" w:rsidP="004E1DF1">
      <w:pPr>
        <w:pStyle w:val="KeinAbsatzformat"/>
        <w:jc w:val="both"/>
        <w:rPr>
          <w:rFonts w:cs="Times New Roman"/>
          <w:kern w:val="20"/>
          <w:sz w:val="19"/>
          <w:szCs w:val="19"/>
          <w:lang w:val="da-DK"/>
        </w:rPr>
      </w:pPr>
      <w:r w:rsidRPr="000D6B99">
        <w:rPr>
          <w:rFonts w:cs="Times New Roman"/>
          <w:b/>
          <w:kern w:val="20"/>
          <w:sz w:val="19"/>
          <w:szCs w:val="19"/>
          <w:lang w:val="da-DK"/>
        </w:rPr>
        <w:t>PDF:</w:t>
      </w:r>
      <w:r w:rsidRPr="000D6B99">
        <w:rPr>
          <w:rFonts w:cs="Times New Roman"/>
          <w:kern w:val="20"/>
          <w:sz w:val="19"/>
          <w:szCs w:val="19"/>
          <w:lang w:val="da-DK"/>
        </w:rPr>
        <w:t xml:space="preserve"> </w:t>
      </w:r>
      <w:hyperlink r:id="rId11" w:history="1">
        <w:r w:rsidR="004E1DF1" w:rsidRPr="007E06AB">
          <w:rPr>
            <w:rStyle w:val="Hyperlink"/>
            <w:rFonts w:cs="Times New Roman"/>
            <w:kern w:val="20"/>
            <w:sz w:val="19"/>
            <w:szCs w:val="19"/>
            <w:lang w:val="da-DK"/>
          </w:rPr>
          <w:t>http://intersex.shadowreport.org/public/2018-CEDAW-Austria-NGO-Zwischengeschlecht-Intersex-IGM.pdf</w:t>
        </w:r>
      </w:hyperlink>
      <w:r w:rsidR="004E1DF1">
        <w:rPr>
          <w:rFonts w:cs="Times New Roman"/>
          <w:kern w:val="20"/>
          <w:sz w:val="19"/>
          <w:szCs w:val="19"/>
          <w:lang w:val="da-DK"/>
        </w:rPr>
        <w:t xml:space="preserve"> </w:t>
      </w:r>
    </w:p>
    <w:p w14:paraId="4F5F6D11" w14:textId="6CA765EC" w:rsidR="00553E82" w:rsidRPr="000D6B99" w:rsidRDefault="00553E82" w:rsidP="00553E82">
      <w:pPr>
        <w:pStyle w:val="KeinAbsatzformat"/>
        <w:jc w:val="both"/>
        <w:rPr>
          <w:rFonts w:cs="Times New Roman"/>
          <w:kern w:val="20"/>
          <w:sz w:val="19"/>
          <w:szCs w:val="19"/>
          <w:lang w:val="da-DK"/>
        </w:rPr>
      </w:pPr>
      <w:r>
        <w:rPr>
          <w:rFonts w:cs="Times New Roman"/>
          <w:b/>
          <w:kern w:val="20"/>
          <w:sz w:val="19"/>
          <w:szCs w:val="19"/>
          <w:lang w:val="da-DK"/>
        </w:rPr>
        <w:t>DOCX</w:t>
      </w:r>
      <w:r w:rsidRPr="000D6B99">
        <w:rPr>
          <w:rFonts w:cs="Times New Roman"/>
          <w:b/>
          <w:kern w:val="20"/>
          <w:sz w:val="19"/>
          <w:szCs w:val="19"/>
          <w:lang w:val="da-DK"/>
        </w:rPr>
        <w:t>:</w:t>
      </w:r>
      <w:r w:rsidRPr="000D6B99">
        <w:rPr>
          <w:rFonts w:cs="Times New Roman"/>
          <w:kern w:val="20"/>
          <w:sz w:val="19"/>
          <w:szCs w:val="19"/>
          <w:lang w:val="da-DK"/>
        </w:rPr>
        <w:t xml:space="preserve"> </w:t>
      </w:r>
      <w:hyperlink r:id="rId12" w:history="1">
        <w:r w:rsidRPr="00AA71ED">
          <w:rPr>
            <w:rStyle w:val="Hyperlink"/>
            <w:rFonts w:cs="Times New Roman"/>
            <w:kern w:val="20"/>
            <w:sz w:val="18"/>
            <w:szCs w:val="18"/>
            <w:lang w:val="da-DK"/>
          </w:rPr>
          <w:t>http://intersex.shadowreport.org/public/2018-CEDAW-Austria-NGO-Zwischengeschlecht-Intersex-IGM.docx</w:t>
        </w:r>
      </w:hyperlink>
      <w:r>
        <w:rPr>
          <w:rFonts w:cs="Times New Roman"/>
          <w:kern w:val="20"/>
          <w:sz w:val="18"/>
          <w:szCs w:val="18"/>
          <w:lang w:val="da-DK"/>
        </w:rPr>
        <w:t xml:space="preserve"> </w:t>
      </w:r>
    </w:p>
    <w:p w14:paraId="38B5F36A" w14:textId="77777777" w:rsidR="00B340CD" w:rsidRPr="000D6B99" w:rsidRDefault="00B340CD" w:rsidP="00B340CD">
      <w:pPr>
        <w:pStyle w:val="KeinAbsatzformat"/>
        <w:rPr>
          <w:rFonts w:ascii="Times New Roman" w:hAnsi="Times New Roman" w:cs="Times New Roman"/>
          <w:b/>
          <w:bCs/>
          <w:spacing w:val="6"/>
          <w:sz w:val="28"/>
          <w:szCs w:val="28"/>
          <w:lang w:val="da-DK"/>
        </w:rPr>
      </w:pPr>
    </w:p>
    <w:p w14:paraId="374806B8" w14:textId="77777777" w:rsidR="00B340CD" w:rsidRPr="000D6B99" w:rsidRDefault="00B340CD" w:rsidP="00B340CD">
      <w:pPr>
        <w:pStyle w:val="KeinAbsatzformat"/>
        <w:rPr>
          <w:rFonts w:ascii="Times New Roman" w:hAnsi="Times New Roman" w:cs="Times New Roman"/>
          <w:b/>
          <w:bCs/>
          <w:spacing w:val="6"/>
          <w:sz w:val="28"/>
          <w:szCs w:val="28"/>
          <w:lang w:val="da-DK"/>
        </w:rPr>
      </w:pPr>
    </w:p>
    <w:p w14:paraId="607672E3" w14:textId="77777777" w:rsidR="00B340CD" w:rsidRPr="000D6B99" w:rsidRDefault="00B340CD" w:rsidP="00B340CD">
      <w:pPr>
        <w:pStyle w:val="KeinAbsatzformat"/>
        <w:rPr>
          <w:rFonts w:ascii="Times New Roman" w:hAnsi="Times New Roman" w:cs="Times New Roman"/>
          <w:b/>
          <w:bCs/>
          <w:spacing w:val="6"/>
          <w:sz w:val="28"/>
          <w:szCs w:val="28"/>
          <w:lang w:val="da-DK"/>
        </w:rPr>
      </w:pPr>
    </w:p>
    <w:p w14:paraId="24382662" w14:textId="77777777" w:rsidR="00AE3717" w:rsidRPr="000D6B99" w:rsidRDefault="00AE3717" w:rsidP="00B340CD">
      <w:pPr>
        <w:pStyle w:val="KeinAbsatzformat"/>
        <w:rPr>
          <w:rFonts w:ascii="Times New Roman" w:hAnsi="Times New Roman" w:cs="Times New Roman"/>
          <w:b/>
          <w:bCs/>
          <w:spacing w:val="6"/>
          <w:sz w:val="28"/>
          <w:szCs w:val="28"/>
          <w:lang w:val="da-DK"/>
        </w:rPr>
      </w:pPr>
    </w:p>
    <w:p w14:paraId="45C11C71" w14:textId="3C8ACA2B" w:rsidR="00AE3717" w:rsidRDefault="00B340CD" w:rsidP="00AE3717">
      <w:pPr>
        <w:pStyle w:val="KeinAbsatzformat"/>
        <w:jc w:val="center"/>
        <w:rPr>
          <w:rFonts w:cs="Arial"/>
          <w:lang w:val="en-GB"/>
        </w:rPr>
      </w:pPr>
      <w:r w:rsidRPr="008521EA">
        <w:rPr>
          <w:rFonts w:ascii="Times New Roman" w:hAnsi="Times New Roman" w:cs="Times New Roman"/>
          <w:b/>
          <w:noProof/>
          <w:spacing w:val="6"/>
          <w:sz w:val="28"/>
          <w:szCs w:val="28"/>
          <w:lang w:val="en-GB" w:eastAsia="en-GB" w:bidi="ar-SA"/>
        </w:rPr>
        <w:drawing>
          <wp:inline distT="0" distB="0" distL="0" distR="0" wp14:anchorId="2E6D5C4D" wp14:editId="3BFEB04D">
            <wp:extent cx="965200" cy="1117600"/>
            <wp:effectExtent l="0" t="0" r="0" b="0"/>
            <wp:docPr id="9" name="Bild 9" descr="Human Rights for Hermaphrodites Too!" title="Logo StopIGM.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IGM_org-Logo_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5200" cy="1117600"/>
                    </a:xfrm>
                    <a:prstGeom prst="rect">
                      <a:avLst/>
                    </a:prstGeom>
                    <a:noFill/>
                    <a:ln>
                      <a:noFill/>
                    </a:ln>
                  </pic:spPr>
                </pic:pic>
              </a:graphicData>
            </a:graphic>
          </wp:inline>
        </w:drawing>
      </w:r>
      <w:bookmarkEnd w:id="2"/>
      <w:r w:rsidR="00AE3717">
        <w:rPr>
          <w:rFonts w:cs="Arial"/>
          <w:lang w:val="en-GB"/>
        </w:rPr>
        <w:br w:type="page"/>
      </w:r>
    </w:p>
    <w:p w14:paraId="2D5793D2" w14:textId="77777777" w:rsidR="004375E4" w:rsidRPr="008521EA" w:rsidRDefault="004375E4" w:rsidP="004375E4">
      <w:pPr>
        <w:pStyle w:val="Title1"/>
        <w:rPr>
          <w:rFonts w:eastAsia="Baskerville" w:cs="Times New Roman"/>
          <w:spacing w:val="2"/>
          <w:lang w:val="en-GB"/>
        </w:rPr>
      </w:pPr>
      <w:bookmarkStart w:id="3" w:name="_Toc11105528"/>
      <w:r w:rsidRPr="008521EA">
        <w:rPr>
          <w:lang w:val="en-GB"/>
        </w:rPr>
        <w:lastRenderedPageBreak/>
        <w:t>Executive Summary</w:t>
      </w:r>
      <w:bookmarkEnd w:id="3"/>
    </w:p>
    <w:p w14:paraId="739A42B9" w14:textId="3596AF2C" w:rsidR="00A93D73" w:rsidRDefault="00602714" w:rsidP="00CE680A">
      <w:pPr>
        <w:pStyle w:val="absatzschattenbericht"/>
      </w:pPr>
      <w:r>
        <w:t>As reiterated by the State party</w:t>
      </w:r>
      <w:r w:rsidR="00C05B99">
        <w:t xml:space="preserve"> in its R</w:t>
      </w:r>
      <w:r>
        <w:t xml:space="preserve">eply to the </w:t>
      </w:r>
      <w:r w:rsidR="00A93D73">
        <w:t>LOI</w:t>
      </w:r>
      <w:r>
        <w:t>,</w:t>
      </w:r>
      <w:r>
        <w:rPr>
          <w:rFonts w:eastAsia="Baskerville-Bold" w:cs="Baskerville-Bold"/>
          <w:bCs/>
        </w:rPr>
        <w:t xml:space="preserve"> </w:t>
      </w:r>
      <w:r w:rsidRPr="00D536E5">
        <w:rPr>
          <w:rFonts w:eastAsia="Baskerville-Bold" w:cs="Baskerville-Bold"/>
          <w:b/>
          <w:bCs/>
        </w:rPr>
        <w:t>in Austria a</w:t>
      </w:r>
      <w:r w:rsidR="004375E4" w:rsidRPr="00D536E5">
        <w:rPr>
          <w:rFonts w:eastAsia="Baskerville-Bold" w:cs="Baskerville-Bold"/>
          <w:b/>
          <w:bCs/>
        </w:rPr>
        <w:t xml:space="preserve">ll typical forms of Intersex Genital Mutilation </w:t>
      </w:r>
      <w:r w:rsidRPr="00D536E5">
        <w:rPr>
          <w:rFonts w:eastAsia="Baskerville-Bold" w:cs="Baskerville-Bold"/>
          <w:b/>
          <w:bCs/>
        </w:rPr>
        <w:t>continue unchanged and with impunity</w:t>
      </w:r>
      <w:r w:rsidR="004375E4" w:rsidRPr="00651DA7">
        <w:t xml:space="preserve">, facilitated and </w:t>
      </w:r>
      <w:r w:rsidR="004375E4" w:rsidRPr="00D536E5">
        <w:rPr>
          <w:b/>
        </w:rPr>
        <w:t xml:space="preserve">paid for by the State party </w:t>
      </w:r>
      <w:r w:rsidR="004375E4" w:rsidRPr="00651DA7">
        <w:t xml:space="preserve">via the </w:t>
      </w:r>
      <w:r w:rsidR="004375E4" w:rsidRPr="00D536E5">
        <w:rPr>
          <w:b/>
        </w:rPr>
        <w:t>public health system</w:t>
      </w:r>
      <w:r w:rsidR="004375E4" w:rsidRPr="00651DA7">
        <w:t xml:space="preserve">. </w:t>
      </w:r>
      <w:r w:rsidR="00A93D73">
        <w:t xml:space="preserve">Intersex children still have </w:t>
      </w:r>
      <w:r w:rsidR="00A93D73" w:rsidRPr="00D536E5">
        <w:rPr>
          <w:b/>
          <w:bCs/>
        </w:rPr>
        <w:t>no legal protection</w:t>
      </w:r>
      <w:r w:rsidR="00A93D73" w:rsidRPr="00A93D73">
        <w:t xml:space="preserve"> from harmful practices</w:t>
      </w:r>
      <w:r w:rsidR="00A93D73">
        <w:t xml:space="preserve">, and </w:t>
      </w:r>
      <w:r w:rsidR="00A93D73" w:rsidRPr="00D536E5">
        <w:rPr>
          <w:b/>
          <w:bCs/>
        </w:rPr>
        <w:t xml:space="preserve">data on IGM </w:t>
      </w:r>
      <w:r w:rsidR="00CF4DE0" w:rsidRPr="00D536E5">
        <w:rPr>
          <w:b/>
          <w:bCs/>
        </w:rPr>
        <w:t>is kept hidden</w:t>
      </w:r>
      <w:r w:rsidR="00C05B99">
        <w:rPr>
          <w:bCs/>
        </w:rPr>
        <w:t xml:space="preserve"> </w:t>
      </w:r>
      <w:r w:rsidR="00C05B99" w:rsidRPr="00C05B99">
        <w:t>by the Government</w:t>
      </w:r>
      <w:r w:rsidR="00CF4DE0" w:rsidRPr="00C05B99">
        <w:t>.</w:t>
      </w:r>
      <w:r w:rsidR="00A93D73" w:rsidRPr="00C05B99">
        <w:t xml:space="preserve"> </w:t>
      </w:r>
    </w:p>
    <w:p w14:paraId="7CB517C0" w14:textId="4BE06FCC" w:rsidR="004375E4" w:rsidRPr="00651DA7" w:rsidRDefault="004375E4" w:rsidP="00CE680A">
      <w:pPr>
        <w:pStyle w:val="absatzschattenbericht"/>
      </w:pPr>
      <w:r w:rsidRPr="00651DA7">
        <w:rPr>
          <w:rFonts w:eastAsia="Baskerville-SemiBold" w:cs="Baskerville-SemiBold"/>
          <w:b/>
        </w:rPr>
        <w:t xml:space="preserve">Austria </w:t>
      </w:r>
      <w:r w:rsidRPr="00651DA7">
        <w:rPr>
          <w:rFonts w:eastAsia="Baskerville-SemiBold" w:cs="Baskerville-SemiBold"/>
        </w:rPr>
        <w:t xml:space="preserve">is </w:t>
      </w:r>
      <w:r w:rsidR="00CF4DE0">
        <w:rPr>
          <w:rFonts w:eastAsia="Baskerville-SemiBold" w:cs="Baskerville-SemiBold"/>
        </w:rPr>
        <w:t xml:space="preserve">thus </w:t>
      </w:r>
      <w:r w:rsidRPr="00651DA7">
        <w:rPr>
          <w:rFonts w:eastAsia="Baskerville-SemiBold" w:cs="Baskerville-SemiBold"/>
        </w:rPr>
        <w:t>in</w:t>
      </w:r>
      <w:r w:rsidRPr="00651DA7">
        <w:rPr>
          <w:rFonts w:eastAsia="Baskerville-SemiBold" w:cs="Baskerville-SemiBold"/>
          <w:b/>
        </w:rPr>
        <w:t xml:space="preserve"> </w:t>
      </w:r>
      <w:r w:rsidRPr="00651DA7">
        <w:rPr>
          <w:rFonts w:eastAsia="Baskerville-SemiBold" w:cs="Baskerville-SemiBold"/>
        </w:rPr>
        <w:t>breach of its</w:t>
      </w:r>
      <w:r w:rsidRPr="00651DA7">
        <w:rPr>
          <w:rFonts w:eastAsia="Baskerville-SemiBold" w:cs="Baskerville-SemiBold"/>
          <w:b/>
        </w:rPr>
        <w:t xml:space="preserve"> obligations</w:t>
      </w:r>
      <w:r w:rsidR="00C05B99">
        <w:rPr>
          <w:rFonts w:eastAsia="Baskerville-SemiBold" w:cs="Baskerville-SemiBold"/>
          <w:b/>
        </w:rPr>
        <w:t xml:space="preserve"> under article 5</w:t>
      </w:r>
      <w:r w:rsidRPr="00651DA7">
        <w:t xml:space="preserve"> </w:t>
      </w:r>
      <w:r w:rsidR="00C05B99">
        <w:t xml:space="preserve">of the Convention </w:t>
      </w:r>
      <w:r w:rsidRPr="00651DA7">
        <w:t xml:space="preserve">to </w:t>
      </w:r>
      <w:r w:rsidRPr="00651DA7">
        <w:rPr>
          <w:b/>
        </w:rPr>
        <w:t xml:space="preserve">(a) </w:t>
      </w:r>
      <w:r w:rsidRPr="00651DA7">
        <w:t xml:space="preserve">take effective legislative, administrative, judicial or other measures to </w:t>
      </w:r>
      <w:r w:rsidR="00C05B99">
        <w:rPr>
          <w:b/>
        </w:rPr>
        <w:t xml:space="preserve">eliminate harmful practices on intersex children, </w:t>
      </w:r>
      <w:r w:rsidR="00C05B99" w:rsidRPr="00C05B99">
        <w:t>namely</w:t>
      </w:r>
      <w:r w:rsidRPr="00C05B99">
        <w:t xml:space="preserve"> </w:t>
      </w:r>
      <w:r w:rsidR="00C05B99">
        <w:t>IGM practices</w:t>
      </w:r>
      <w:r w:rsidRPr="00651DA7">
        <w:t xml:space="preserve">, </w:t>
      </w:r>
      <w:r w:rsidRPr="00651DA7">
        <w:rPr>
          <w:b/>
        </w:rPr>
        <w:t xml:space="preserve">(b) </w:t>
      </w:r>
      <w:r w:rsidRPr="00651DA7">
        <w:t xml:space="preserve">to ensure access to </w:t>
      </w:r>
      <w:r w:rsidRPr="00651DA7">
        <w:rPr>
          <w:b/>
        </w:rPr>
        <w:t>justice, redress, compensation and rehabilitation</w:t>
      </w:r>
      <w:r w:rsidRPr="00651DA7">
        <w:t xml:space="preserve"> for victims, and </w:t>
      </w:r>
      <w:r w:rsidRPr="00651DA7">
        <w:rPr>
          <w:b/>
        </w:rPr>
        <w:t xml:space="preserve">c) </w:t>
      </w:r>
      <w:r w:rsidRPr="00651DA7">
        <w:t xml:space="preserve">to provide families with intersex children with adequate </w:t>
      </w:r>
      <w:r w:rsidRPr="00651DA7">
        <w:rPr>
          <w:b/>
        </w:rPr>
        <w:t>psychosocial and peer support</w:t>
      </w:r>
      <w:r w:rsidRPr="00651DA7">
        <w:t>.</w:t>
      </w:r>
    </w:p>
    <w:p w14:paraId="4A5D2A05" w14:textId="77777777" w:rsidR="004375E4" w:rsidRPr="00D85781" w:rsidRDefault="004375E4" w:rsidP="00CE680A">
      <w:pPr>
        <w:pStyle w:val="absatzschattenbericht"/>
        <w:rPr>
          <w:w w:val="90"/>
        </w:rPr>
      </w:pPr>
      <w:r w:rsidRPr="00651DA7">
        <w:rPr>
          <w:b/>
          <w:bCs/>
        </w:rPr>
        <w:t>CAT</w:t>
      </w:r>
      <w:r w:rsidRPr="00651DA7">
        <w:t xml:space="preserve"> has already considered </w:t>
      </w:r>
      <w:r w:rsidRPr="00651DA7">
        <w:rPr>
          <w:b/>
        </w:rPr>
        <w:t>IGM in Austria</w:t>
      </w:r>
      <w:r w:rsidRPr="00651DA7">
        <w:t xml:space="preserve"> as constituting at least</w:t>
      </w:r>
      <w:r w:rsidRPr="00651DA7">
        <w:rPr>
          <w:b/>
        </w:rPr>
        <w:t xml:space="preserve"> </w:t>
      </w:r>
      <w:r w:rsidRPr="00651DA7">
        <w:rPr>
          <w:b/>
          <w:bCs/>
        </w:rPr>
        <w:t>cruel, inhuman or degrading treatment</w:t>
      </w:r>
      <w:r w:rsidRPr="00651DA7">
        <w:t xml:space="preserve"> (</w:t>
      </w:r>
      <w:r w:rsidRPr="00651DA7">
        <w:rPr>
          <w:lang w:val="en-US"/>
        </w:rPr>
        <w:t>CAT/C/AUT/CO/6, paras 44–45</w:t>
      </w:r>
      <w:r w:rsidRPr="00651DA7">
        <w:t xml:space="preserve">). Nonetheless, to this day the </w:t>
      </w:r>
      <w:r w:rsidRPr="00651DA7">
        <w:rPr>
          <w:b/>
        </w:rPr>
        <w:t>Austrian Government fails to act</w:t>
      </w:r>
      <w:r w:rsidRPr="00651DA7">
        <w:t>.</w:t>
      </w:r>
    </w:p>
    <w:p w14:paraId="7321D2A9" w14:textId="10521370" w:rsidR="004375E4" w:rsidRPr="00D85781" w:rsidRDefault="00C05B99" w:rsidP="00CE680A">
      <w:pPr>
        <w:pStyle w:val="absatzschattenbericht"/>
        <w:rPr>
          <w:color w:val="auto"/>
          <w:sz w:val="23"/>
          <w:szCs w:val="23"/>
        </w:rPr>
      </w:pPr>
      <w:r w:rsidRPr="006E7F18">
        <w:rPr>
          <w:color w:val="auto"/>
        </w:rPr>
        <w:t>This</w:t>
      </w:r>
      <w:r>
        <w:rPr>
          <w:color w:val="auto"/>
          <w:sz w:val="23"/>
          <w:szCs w:val="23"/>
        </w:rPr>
        <w:t xml:space="preserve"> </w:t>
      </w:r>
      <w:r w:rsidRPr="0009169E">
        <w:t xml:space="preserve">Committee has repeatedly considered IGM as a </w:t>
      </w:r>
      <w:r w:rsidRPr="007A18B3">
        <w:rPr>
          <w:b/>
          <w:bCs/>
        </w:rPr>
        <w:t>harmful practice</w:t>
      </w:r>
      <w:r w:rsidRPr="0009169E">
        <w:t xml:space="preserve">, and the </w:t>
      </w:r>
      <w:r w:rsidRPr="007A18B3">
        <w:rPr>
          <w:b/>
          <w:bCs/>
        </w:rPr>
        <w:t>CEDAW/CRC Joint general recommendation No. 31/18</w:t>
      </w:r>
      <w:r w:rsidRPr="0009169E">
        <w:t xml:space="preserve"> on harmful practices as applicable</w:t>
      </w:r>
      <w:r>
        <w:t>.</w:t>
      </w:r>
      <w:r>
        <w:rPr>
          <w:color w:val="auto"/>
          <w:sz w:val="23"/>
          <w:szCs w:val="23"/>
        </w:rPr>
        <w:t xml:space="preserve"> </w:t>
      </w:r>
      <w:r w:rsidR="004375E4" w:rsidRPr="00D22417">
        <w:rPr>
          <w:color w:val="auto"/>
        </w:rPr>
        <w:t xml:space="preserve">In total, UN treaty bodies </w:t>
      </w:r>
      <w:r w:rsidRPr="00D22417">
        <w:rPr>
          <w:b/>
          <w:color w:val="auto"/>
        </w:rPr>
        <w:t>CEDAW</w:t>
      </w:r>
      <w:r w:rsidR="004375E4" w:rsidRPr="00D22417">
        <w:rPr>
          <w:b/>
          <w:color w:val="auto"/>
        </w:rPr>
        <w:t>, CRC, CAT, CCPR</w:t>
      </w:r>
      <w:r w:rsidR="004375E4" w:rsidRPr="00D22417">
        <w:rPr>
          <w:color w:val="auto"/>
        </w:rPr>
        <w:t xml:space="preserve"> </w:t>
      </w:r>
      <w:r w:rsidRPr="00D22417">
        <w:rPr>
          <w:color w:val="auto"/>
        </w:rPr>
        <w:t xml:space="preserve">and </w:t>
      </w:r>
      <w:r w:rsidRPr="00D22417">
        <w:rPr>
          <w:b/>
          <w:color w:val="auto"/>
        </w:rPr>
        <w:t>CRPD</w:t>
      </w:r>
      <w:r w:rsidRPr="00D22417">
        <w:rPr>
          <w:color w:val="auto"/>
        </w:rPr>
        <w:t xml:space="preserve"> </w:t>
      </w:r>
      <w:r w:rsidR="004375E4" w:rsidRPr="00D22417">
        <w:rPr>
          <w:color w:val="auto"/>
        </w:rPr>
        <w:t xml:space="preserve">have so far issued </w:t>
      </w:r>
      <w:r w:rsidR="00CF4DE0" w:rsidRPr="00D22417">
        <w:rPr>
          <w:b/>
          <w:bCs/>
          <w:color w:val="auto"/>
        </w:rPr>
        <w:t>42</w:t>
      </w:r>
      <w:r w:rsidR="004375E4" w:rsidRPr="00D22417">
        <w:rPr>
          <w:b/>
          <w:bCs/>
          <w:color w:val="auto"/>
        </w:rPr>
        <w:t> Concluding Observations on IGM</w:t>
      </w:r>
      <w:r w:rsidR="004375E4" w:rsidRPr="00D22417">
        <w:rPr>
          <w:color w:val="auto"/>
        </w:rPr>
        <w:t xml:space="preserve">, typically obliging State parties to </w:t>
      </w:r>
      <w:r w:rsidR="004375E4" w:rsidRPr="00D22417">
        <w:rPr>
          <w:b/>
          <w:color w:val="auto"/>
        </w:rPr>
        <w:t>enact legislation</w:t>
      </w:r>
      <w:r w:rsidR="004375E4" w:rsidRPr="00D22417">
        <w:rPr>
          <w:color w:val="auto"/>
        </w:rPr>
        <w:t xml:space="preserve"> to </w:t>
      </w:r>
      <w:r w:rsidR="004375E4" w:rsidRPr="00D22417">
        <w:rPr>
          <w:b/>
          <w:bCs/>
          <w:color w:val="auto"/>
        </w:rPr>
        <w:t>(a)</w:t>
      </w:r>
      <w:r w:rsidR="004375E4" w:rsidRPr="00D22417">
        <w:rPr>
          <w:color w:val="auto"/>
        </w:rPr>
        <w:t> end the practice</w:t>
      </w:r>
      <w:r w:rsidR="006E7F18">
        <w:rPr>
          <w:color w:val="auto"/>
        </w:rPr>
        <w:t>,</w:t>
      </w:r>
      <w:r w:rsidR="004375E4" w:rsidRPr="00D22417">
        <w:rPr>
          <w:color w:val="auto"/>
        </w:rPr>
        <w:t xml:space="preserve"> </w:t>
      </w:r>
      <w:r w:rsidR="004375E4" w:rsidRPr="00D22417">
        <w:rPr>
          <w:b/>
          <w:bCs/>
          <w:color w:val="auto"/>
        </w:rPr>
        <w:t>(b)</w:t>
      </w:r>
      <w:r w:rsidR="006E7F18" w:rsidRPr="00D22417">
        <w:rPr>
          <w:color w:val="auto"/>
        </w:rPr>
        <w:t> </w:t>
      </w:r>
      <w:r w:rsidR="004375E4" w:rsidRPr="00D22417">
        <w:rPr>
          <w:color w:val="auto"/>
        </w:rPr>
        <w:t xml:space="preserve">ensure redress and compensation, plus </w:t>
      </w:r>
      <w:r w:rsidR="004375E4" w:rsidRPr="00D22417">
        <w:rPr>
          <w:b/>
          <w:bCs/>
          <w:color w:val="auto"/>
        </w:rPr>
        <w:t>(c)</w:t>
      </w:r>
      <w:r w:rsidR="004375E4" w:rsidRPr="00D22417">
        <w:rPr>
          <w:color w:val="auto"/>
        </w:rPr>
        <w:t xml:space="preserve"> access to free counselling. Also the UN</w:t>
      </w:r>
      <w:r w:rsidR="004375E4" w:rsidRPr="00D22417">
        <w:rPr>
          <w:color w:val="auto"/>
          <w:kern w:val="24"/>
        </w:rPr>
        <w:t> </w:t>
      </w:r>
      <w:r w:rsidR="004375E4" w:rsidRPr="00D22417">
        <w:rPr>
          <w:color w:val="auto"/>
        </w:rPr>
        <w:t>Special Rapporteurs on Torture (</w:t>
      </w:r>
      <w:r w:rsidR="004375E4" w:rsidRPr="00D22417">
        <w:rPr>
          <w:rStyle w:val="verweis"/>
          <w:rFonts w:ascii="Times New Roman" w:hAnsi="Times New Roman"/>
          <w:color w:val="auto"/>
        </w:rPr>
        <w:t>SRT</w:t>
      </w:r>
      <w:r w:rsidR="004375E4" w:rsidRPr="00D22417">
        <w:rPr>
          <w:color w:val="auto"/>
        </w:rPr>
        <w:t>) and Health (</w:t>
      </w:r>
      <w:r w:rsidR="004375E4" w:rsidRPr="00D22417">
        <w:rPr>
          <w:rStyle w:val="verweis"/>
          <w:rFonts w:ascii="Times New Roman" w:hAnsi="Times New Roman"/>
          <w:color w:val="auto"/>
        </w:rPr>
        <w:t>SRH</w:t>
      </w:r>
      <w:r w:rsidR="004375E4" w:rsidRPr="00D22417">
        <w:rPr>
          <w:color w:val="auto"/>
        </w:rPr>
        <w:t>), the UN High Commissioner for Human Rights (</w:t>
      </w:r>
      <w:r w:rsidR="004375E4" w:rsidRPr="00D22417">
        <w:rPr>
          <w:rStyle w:val="verweis"/>
          <w:rFonts w:ascii="Times New Roman" w:hAnsi="Times New Roman"/>
          <w:color w:val="auto"/>
        </w:rPr>
        <w:t>UNHCHR</w:t>
      </w:r>
      <w:r w:rsidR="004375E4" w:rsidRPr="00D22417">
        <w:rPr>
          <w:color w:val="auto"/>
        </w:rPr>
        <w:t>), the World Health Organisation (</w:t>
      </w:r>
      <w:r w:rsidR="004375E4" w:rsidRPr="00D22417">
        <w:rPr>
          <w:rStyle w:val="verweis"/>
          <w:rFonts w:ascii="Times New Roman" w:hAnsi="Times New Roman"/>
          <w:color w:val="auto"/>
        </w:rPr>
        <w:t>WHO</w:t>
      </w:r>
      <w:r w:rsidR="004375E4" w:rsidRPr="00D22417">
        <w:rPr>
          <w:color w:val="auto"/>
        </w:rPr>
        <w:t xml:space="preserve">), </w:t>
      </w:r>
      <w:r w:rsidR="004375E4" w:rsidRPr="00D22417">
        <w:t>the Inter-American Commission on Human Rights (</w:t>
      </w:r>
      <w:r w:rsidR="004375E4" w:rsidRPr="00D22417">
        <w:rPr>
          <w:b/>
        </w:rPr>
        <w:t>IACHR</w:t>
      </w:r>
      <w:r w:rsidR="004375E4" w:rsidRPr="00D22417">
        <w:t>), the African Commission on Human and Peoples’ Rights (</w:t>
      </w:r>
      <w:r w:rsidR="004375E4" w:rsidRPr="00D22417">
        <w:rPr>
          <w:b/>
        </w:rPr>
        <w:t>ACHPR</w:t>
      </w:r>
      <w:r w:rsidR="004375E4" w:rsidRPr="00D22417">
        <w:t>)</w:t>
      </w:r>
      <w:r w:rsidR="004375E4" w:rsidRPr="00D22417">
        <w:rPr>
          <w:color w:val="auto"/>
        </w:rPr>
        <w:t xml:space="preserve"> and the Council of Europe (</w:t>
      </w:r>
      <w:r w:rsidR="004375E4" w:rsidRPr="00D22417">
        <w:rPr>
          <w:rStyle w:val="verweis"/>
          <w:rFonts w:ascii="Times New Roman" w:hAnsi="Times New Roman"/>
          <w:color w:val="auto"/>
        </w:rPr>
        <w:t>COE</w:t>
      </w:r>
      <w:r w:rsidR="004375E4" w:rsidRPr="00D22417">
        <w:rPr>
          <w:color w:val="auto"/>
        </w:rPr>
        <w:t xml:space="preserve">) recognise IGM as a </w:t>
      </w:r>
      <w:r w:rsidR="004375E4" w:rsidRPr="00D22417">
        <w:rPr>
          <w:rFonts w:eastAsia="Baskerville-SemiBold" w:cs="Baskerville-SemiBold"/>
          <w:b/>
          <w:color w:val="auto"/>
        </w:rPr>
        <w:t xml:space="preserve">serious violation of non-derogable </w:t>
      </w:r>
      <w:r w:rsidR="004375E4" w:rsidRPr="00D22417">
        <w:rPr>
          <w:rFonts w:eastAsia="Baskerville-SemiBold" w:cs="Baskerville-SemiBold"/>
          <w:b/>
          <w:color w:val="auto"/>
        </w:rPr>
        <w:lastRenderedPageBreak/>
        <w:t>human rights</w:t>
      </w:r>
      <w:r w:rsidR="004375E4" w:rsidRPr="00D22417">
        <w:rPr>
          <w:b/>
          <w:color w:val="auto"/>
        </w:rPr>
        <w:t>.</w:t>
      </w:r>
    </w:p>
    <w:p w14:paraId="739B9D38" w14:textId="7C5A6BC3" w:rsidR="004375E4" w:rsidRPr="00D85781" w:rsidRDefault="004375E4" w:rsidP="00CE680A">
      <w:pPr>
        <w:pStyle w:val="absatzschattenbericht"/>
        <w:rPr>
          <w:rFonts w:eastAsia="Baskerville-Bold" w:cs="Baskerville-Bold"/>
          <w:b/>
          <w:bCs/>
        </w:rPr>
      </w:pPr>
      <w:r w:rsidRPr="00D85781">
        <w:rPr>
          <w:rFonts w:eastAsia="Baskerville-Bold" w:cs="Baskerville-Bold"/>
          <w:b/>
          <w:bCs/>
        </w:rPr>
        <w:t>Intersex people</w:t>
      </w:r>
      <w:r w:rsidRPr="00D85781">
        <w:t xml:space="preserve"> are born with </w:t>
      </w:r>
      <w:r w:rsidRPr="00D85781">
        <w:rPr>
          <w:rFonts w:eastAsia="Baskerville-Bold" w:cs="Baskerville-Bold"/>
          <w:b/>
          <w:bCs/>
        </w:rPr>
        <w:t xml:space="preserve">Variations of </w:t>
      </w:r>
      <w:r w:rsidR="00EC0ED8">
        <w:rPr>
          <w:rFonts w:eastAsia="Baskerville-Bold" w:cs="Baskerville-Bold"/>
          <w:b/>
          <w:bCs/>
        </w:rPr>
        <w:t>Reproductive</w:t>
      </w:r>
      <w:r w:rsidRPr="00D85781">
        <w:rPr>
          <w:rFonts w:eastAsia="Baskerville-Bold" w:cs="Baskerville-Bold"/>
          <w:b/>
          <w:bCs/>
        </w:rPr>
        <w:t xml:space="preserve"> Anatomy</w:t>
      </w:r>
      <w:r w:rsidRPr="00D85781">
        <w:t xml:space="preserve">, including atypical genitals, atypical sex hormone producing organs, atypical response to sex hormones, atypical genetic make-up, atypical secondary sex markers. While intersex people may face several problems, in the “developed world” the most pressing are the ongoing </w:t>
      </w:r>
      <w:r w:rsidRPr="00D85781">
        <w:rPr>
          <w:rFonts w:eastAsia="Baskerville-Bold" w:cs="Baskerville-Bold"/>
          <w:b/>
          <w:bCs/>
        </w:rPr>
        <w:t>Intersex Genital Mutilations</w:t>
      </w:r>
      <w:r w:rsidRPr="00D85781">
        <w:t>, which present a distinct and unique issue constituting significant human rights violations.</w:t>
      </w:r>
    </w:p>
    <w:p w14:paraId="33EB690D" w14:textId="77777777" w:rsidR="004375E4" w:rsidRPr="00D85781" w:rsidRDefault="004375E4" w:rsidP="00CE680A">
      <w:pPr>
        <w:pStyle w:val="absatzschattenbericht"/>
      </w:pPr>
      <w:r w:rsidRPr="00D536E5">
        <w:rPr>
          <w:b/>
        </w:rPr>
        <w:t>IGM practices</w:t>
      </w:r>
      <w:r w:rsidRPr="00D85781">
        <w:t xml:space="preserve"> include </w:t>
      </w:r>
      <w:r w:rsidRPr="00D536E5">
        <w:rPr>
          <w:b/>
        </w:rPr>
        <w:t>non-consensual, medically unnecessary, irreversible, cosmetic genital surgeries, and/or other harmful medical procedures</w:t>
      </w:r>
      <w:r w:rsidRPr="00D85781">
        <w:t xml:space="preserve"> that would not be considered for “normal” children, without evidence of benefit for the children concerned.</w:t>
      </w:r>
      <w:r w:rsidRPr="00D85781">
        <w:rPr>
          <w:rFonts w:eastAsia="Baskerville-SemiBold" w:cs="Baskerville-SemiBold"/>
        </w:rPr>
        <w:t xml:space="preserve"> </w:t>
      </w:r>
      <w:r w:rsidRPr="00D536E5">
        <w:rPr>
          <w:b/>
        </w:rPr>
        <w:t>Typical forms of IGM</w:t>
      </w:r>
      <w:r w:rsidRPr="00D85781">
        <w:t xml:space="preserve"> include “masculinising” and “feminising”, “corrective” genital surgery, sterilising procedures, imposition of hormones, forced genital exams, vaginal dilations, medical display, involuntary human experimentation and denial of needed health care.</w:t>
      </w:r>
    </w:p>
    <w:p w14:paraId="6929ED5D" w14:textId="77777777" w:rsidR="004375E4" w:rsidRPr="00D85781" w:rsidRDefault="004375E4" w:rsidP="00CE680A">
      <w:pPr>
        <w:pStyle w:val="absatzschattenbericht"/>
        <w:rPr>
          <w:rFonts w:eastAsia="Baskerville-Bold" w:cs="Baskerville-Bold"/>
          <w:b/>
          <w:bCs/>
        </w:rPr>
      </w:pPr>
      <w:r w:rsidRPr="00D85781">
        <w:t xml:space="preserve">IGM practices cause known </w:t>
      </w:r>
      <w:r w:rsidRPr="00D85781">
        <w:rPr>
          <w:rFonts w:eastAsia="Baskerville-Bold" w:cs="Baskerville-Bold"/>
          <w:b/>
          <w:bCs/>
        </w:rPr>
        <w:t>lifelong severe physical and mental pain and suffering</w:t>
      </w:r>
      <w:r w:rsidRPr="00D85781">
        <w:t>, including loss or impairment of sexual sensation, painful scarring, painful intercourse, incontinence, urethral strictures, impairment or loss of reproductive capabilities, lifelong dependency of artificial hormones, significantly elevated rates of self-harming behaviour and suicidal tendencies, lifelong mental suffering and trauma, increased sexual anxieties, and less sexual activity.</w:t>
      </w:r>
    </w:p>
    <w:p w14:paraId="0883FA3B" w14:textId="77777777" w:rsidR="004375E4" w:rsidRPr="00D85781" w:rsidRDefault="004375E4" w:rsidP="00CE680A">
      <w:pPr>
        <w:pStyle w:val="absatzschattenbericht"/>
        <w:rPr>
          <w:rFonts w:eastAsia="Baskerville-Bold" w:cs="Baskerville-Bold"/>
          <w:b/>
          <w:bCs/>
        </w:rPr>
      </w:pPr>
      <w:r w:rsidRPr="00D85781">
        <w:t xml:space="preserve">For </w:t>
      </w:r>
      <w:r w:rsidRPr="00D85781">
        <w:rPr>
          <w:b/>
        </w:rPr>
        <w:t>25 years</w:t>
      </w:r>
      <w:r w:rsidRPr="00D85781">
        <w:t xml:space="preserve">, intersex people have denounced IGM as </w:t>
      </w:r>
      <w:r w:rsidRPr="00D85781">
        <w:rPr>
          <w:b/>
        </w:rPr>
        <w:t>harmful</w:t>
      </w:r>
      <w:r w:rsidRPr="00D85781">
        <w:t xml:space="preserve"> and </w:t>
      </w:r>
      <w:r w:rsidRPr="00D85781">
        <w:rPr>
          <w:b/>
        </w:rPr>
        <w:t>traumatising</w:t>
      </w:r>
      <w:r w:rsidRPr="00D85781">
        <w:t xml:space="preserve">, as western </w:t>
      </w:r>
      <w:r w:rsidRPr="00D85781">
        <w:rPr>
          <w:b/>
        </w:rPr>
        <w:t>genital</w:t>
      </w:r>
      <w:r w:rsidRPr="00D85781">
        <w:t xml:space="preserve"> </w:t>
      </w:r>
      <w:r w:rsidRPr="00D85781">
        <w:rPr>
          <w:b/>
        </w:rPr>
        <w:t>mutilation</w:t>
      </w:r>
      <w:r w:rsidRPr="00D85781">
        <w:t xml:space="preserve">, as </w:t>
      </w:r>
      <w:r w:rsidRPr="00D85781">
        <w:rPr>
          <w:b/>
        </w:rPr>
        <w:t>child sexual abuse</w:t>
      </w:r>
      <w:r w:rsidRPr="00D85781">
        <w:t xml:space="preserve"> and </w:t>
      </w:r>
      <w:r w:rsidRPr="00D85781">
        <w:rPr>
          <w:b/>
        </w:rPr>
        <w:t>torture</w:t>
      </w:r>
      <w:r w:rsidRPr="00D85781">
        <w:t xml:space="preserve">, and called for </w:t>
      </w:r>
      <w:r w:rsidRPr="00D85781">
        <w:rPr>
          <w:b/>
        </w:rPr>
        <w:t>remedies</w:t>
      </w:r>
      <w:r w:rsidRPr="00D85781">
        <w:t>.</w:t>
      </w:r>
    </w:p>
    <w:p w14:paraId="4A235D0F" w14:textId="5EF6C977" w:rsidR="004375E4" w:rsidRPr="008521EA" w:rsidRDefault="004375E4" w:rsidP="00CE680A">
      <w:pPr>
        <w:pStyle w:val="absatzschattenbericht"/>
      </w:pPr>
      <w:r w:rsidRPr="009C4749">
        <w:t xml:space="preserve">This </w:t>
      </w:r>
      <w:r w:rsidRPr="009C4749">
        <w:rPr>
          <w:b/>
        </w:rPr>
        <w:t>NGO Report</w:t>
      </w:r>
      <w:r w:rsidRPr="009C4749">
        <w:t xml:space="preserve"> has been compiled by</w:t>
      </w:r>
      <w:r w:rsidR="004376AF">
        <w:t xml:space="preserve"> the </w:t>
      </w:r>
      <w:r w:rsidR="004376AF" w:rsidRPr="009C4749">
        <w:t>international intersex NGO</w:t>
      </w:r>
      <w:r w:rsidRPr="009C4749">
        <w:t xml:space="preserve"> </w:t>
      </w:r>
      <w:r w:rsidRPr="009C4749">
        <w:rPr>
          <w:b/>
        </w:rPr>
        <w:t>StopIGM.org</w:t>
      </w:r>
      <w:r w:rsidR="00651DA7" w:rsidRPr="009C4749">
        <w:rPr>
          <w:b/>
        </w:rPr>
        <w:t xml:space="preserve"> / Zwischengeschlecht.org</w:t>
      </w:r>
      <w:r w:rsidRPr="009C4749">
        <w:t>. It contains</w:t>
      </w:r>
      <w:r w:rsidRPr="009C4749">
        <w:rPr>
          <w:spacing w:val="10"/>
          <w:kern w:val="24"/>
        </w:rPr>
        <w:t xml:space="preserve"> </w:t>
      </w:r>
      <w:r w:rsidR="009C4749">
        <w:rPr>
          <w:b/>
          <w:spacing w:val="10"/>
          <w:kern w:val="24"/>
        </w:rPr>
        <w:t xml:space="preserve">Suggested Recommendations </w:t>
      </w:r>
      <w:r w:rsidRPr="009C4749">
        <w:rPr>
          <w:spacing w:val="10"/>
          <w:kern w:val="24"/>
        </w:rPr>
        <w:t xml:space="preserve">(see p. </w:t>
      </w:r>
      <w:r w:rsidR="0090269B">
        <w:rPr>
          <w:spacing w:val="10"/>
          <w:kern w:val="24"/>
        </w:rPr>
        <w:t>14</w:t>
      </w:r>
      <w:r w:rsidRPr="009C4749">
        <w:rPr>
          <w:spacing w:val="10"/>
          <w:kern w:val="24"/>
        </w:rPr>
        <w:t>).</w:t>
      </w:r>
    </w:p>
    <w:p w14:paraId="17E11D2D" w14:textId="34D24C97" w:rsidR="00A3639B" w:rsidRDefault="00651DA7" w:rsidP="00273510">
      <w:pPr>
        <w:pStyle w:val="EinfacherAbsatz"/>
        <w:jc w:val="center"/>
        <w:rPr>
          <w:rFonts w:cs="Arial"/>
          <w:b/>
          <w:bCs/>
          <w:color w:val="5E175E"/>
          <w:spacing w:val="11"/>
          <w:w w:val="95"/>
          <w:sz w:val="26"/>
          <w:szCs w:val="26"/>
          <w:lang w:val="en-GB"/>
        </w:rPr>
      </w:pPr>
      <w:bookmarkStart w:id="4" w:name="Introduction"/>
      <w:bookmarkStart w:id="5" w:name="_Toc453620702"/>
      <w:bookmarkStart w:id="6" w:name="_Toc463295398"/>
      <w:bookmarkStart w:id="7" w:name="_Toc472718948"/>
      <w:r>
        <w:rPr>
          <w:rFonts w:cs="Arial"/>
          <w:b/>
          <w:bCs/>
          <w:color w:val="5E175E"/>
          <w:spacing w:val="11"/>
          <w:w w:val="95"/>
          <w:sz w:val="26"/>
          <w:szCs w:val="26"/>
          <w:lang w:val="en-GB"/>
        </w:rPr>
        <w:lastRenderedPageBreak/>
        <w:t xml:space="preserve">NGO Report (for </w:t>
      </w:r>
      <w:r w:rsidR="004E1DF1">
        <w:rPr>
          <w:rFonts w:cs="Arial"/>
          <w:b/>
          <w:bCs/>
          <w:color w:val="5E175E"/>
          <w:spacing w:val="11"/>
          <w:w w:val="95"/>
          <w:sz w:val="26"/>
          <w:szCs w:val="26"/>
          <w:lang w:val="en-GB"/>
        </w:rPr>
        <w:t>Session</w:t>
      </w:r>
      <w:r w:rsidR="00273510" w:rsidRPr="008521EA">
        <w:rPr>
          <w:rFonts w:cs="Arial"/>
          <w:b/>
          <w:bCs/>
          <w:color w:val="5E175E"/>
          <w:spacing w:val="11"/>
          <w:w w:val="95"/>
          <w:sz w:val="26"/>
          <w:szCs w:val="26"/>
          <w:lang w:val="en-GB"/>
        </w:rPr>
        <w:t xml:space="preserve">) </w:t>
      </w:r>
    </w:p>
    <w:p w14:paraId="496BD9B2" w14:textId="3228F953" w:rsidR="00273510" w:rsidRPr="008521EA" w:rsidRDefault="00273510" w:rsidP="00273510">
      <w:pPr>
        <w:pStyle w:val="EinfacherAbsatz"/>
        <w:jc w:val="center"/>
        <w:rPr>
          <w:rFonts w:cs="Arial"/>
          <w:b/>
          <w:bCs/>
          <w:color w:val="5E175E"/>
          <w:spacing w:val="11"/>
          <w:w w:val="95"/>
          <w:sz w:val="26"/>
          <w:szCs w:val="26"/>
          <w:lang w:val="en-GB"/>
        </w:rPr>
      </w:pPr>
      <w:r w:rsidRPr="008521EA">
        <w:rPr>
          <w:rFonts w:cs="Arial"/>
          <w:b/>
          <w:bCs/>
          <w:color w:val="5E175E"/>
          <w:spacing w:val="11"/>
          <w:w w:val="95"/>
          <w:sz w:val="26"/>
          <w:szCs w:val="26"/>
          <w:lang w:val="en-GB"/>
        </w:rPr>
        <w:t xml:space="preserve">to the </w:t>
      </w:r>
      <w:r w:rsidR="00A3639B">
        <w:rPr>
          <w:rFonts w:cs="Arial"/>
          <w:b/>
          <w:bCs/>
          <w:color w:val="5E175E"/>
          <w:spacing w:val="11"/>
          <w:w w:val="95"/>
          <w:sz w:val="26"/>
          <w:szCs w:val="26"/>
          <w:lang w:val="en-GB"/>
        </w:rPr>
        <w:t>9</w:t>
      </w:r>
      <w:r w:rsidR="00A3639B" w:rsidRPr="00A3639B">
        <w:rPr>
          <w:rFonts w:cs="Arial"/>
          <w:b/>
          <w:bCs/>
          <w:color w:val="5E175E"/>
          <w:spacing w:val="11"/>
          <w:w w:val="95"/>
          <w:sz w:val="26"/>
          <w:szCs w:val="26"/>
          <w:vertAlign w:val="superscript"/>
          <w:lang w:val="en-GB"/>
        </w:rPr>
        <w:t>th</w:t>
      </w:r>
      <w:r w:rsidRPr="008521EA">
        <w:rPr>
          <w:rFonts w:cs="Arial"/>
          <w:b/>
          <w:bCs/>
          <w:color w:val="5E175E"/>
          <w:spacing w:val="11"/>
          <w:w w:val="95"/>
          <w:sz w:val="26"/>
          <w:szCs w:val="26"/>
          <w:lang w:val="en-GB"/>
        </w:rPr>
        <w:t xml:space="preserve"> Periodic Report of </w:t>
      </w:r>
      <w:r w:rsidR="00706D78">
        <w:rPr>
          <w:rFonts w:cs="Arial"/>
          <w:b/>
          <w:bCs/>
          <w:color w:val="5E175E"/>
          <w:spacing w:val="11"/>
          <w:w w:val="95"/>
          <w:sz w:val="26"/>
          <w:szCs w:val="26"/>
          <w:lang w:val="en-GB"/>
        </w:rPr>
        <w:t>Austria</w:t>
      </w:r>
    </w:p>
    <w:p w14:paraId="652DDD45" w14:textId="77777777" w:rsidR="00A3639B" w:rsidRPr="00B87ABD" w:rsidRDefault="00A3639B" w:rsidP="00A3639B">
      <w:pPr>
        <w:pStyle w:val="EinfacherAbsatz"/>
        <w:jc w:val="center"/>
        <w:rPr>
          <w:rFonts w:eastAsia="ColossalisBold" w:cs="Arial"/>
          <w:b/>
          <w:bCs/>
          <w:color w:val="5E175E"/>
          <w:spacing w:val="11"/>
          <w:w w:val="95"/>
          <w:sz w:val="26"/>
          <w:szCs w:val="26"/>
          <w:lang w:val="en-GB"/>
        </w:rPr>
      </w:pPr>
      <w:r w:rsidRPr="00B87ABD">
        <w:rPr>
          <w:rFonts w:eastAsia="ColossalisBold" w:cs="Arial"/>
          <w:b/>
          <w:bCs/>
          <w:color w:val="5E175E"/>
          <w:spacing w:val="11"/>
          <w:w w:val="95"/>
          <w:sz w:val="26"/>
          <w:szCs w:val="26"/>
          <w:lang w:val="en-GB"/>
        </w:rPr>
        <w:t>on the Convention on the Elimination of All Forms</w:t>
      </w:r>
    </w:p>
    <w:p w14:paraId="0292B1EB" w14:textId="2B8E946E" w:rsidR="00273510" w:rsidRPr="008521EA" w:rsidRDefault="00A3639B" w:rsidP="00A3639B">
      <w:pPr>
        <w:pStyle w:val="EinfacherAbsatz"/>
        <w:jc w:val="center"/>
        <w:rPr>
          <w:rFonts w:cs="Arial"/>
          <w:b/>
          <w:bCs/>
          <w:color w:val="5E175E"/>
          <w:spacing w:val="11"/>
          <w:w w:val="95"/>
          <w:sz w:val="26"/>
          <w:szCs w:val="26"/>
          <w:lang w:val="en-GB"/>
        </w:rPr>
      </w:pPr>
      <w:r w:rsidRPr="00B87ABD">
        <w:rPr>
          <w:rFonts w:eastAsia="ColossalisBold" w:cs="Arial"/>
          <w:b/>
          <w:bCs/>
          <w:color w:val="5E175E"/>
          <w:spacing w:val="11"/>
          <w:w w:val="95"/>
          <w:sz w:val="26"/>
          <w:szCs w:val="26"/>
          <w:lang w:val="en-GB"/>
        </w:rPr>
        <w:t>of Discrimination against Women (CEDAW)</w:t>
      </w:r>
    </w:p>
    <w:p w14:paraId="50C03719" w14:textId="77777777" w:rsidR="00273510" w:rsidRPr="00A13F2C" w:rsidRDefault="00273510" w:rsidP="00273510">
      <w:pPr>
        <w:pStyle w:val="EinfacherAbsatz"/>
        <w:jc w:val="center"/>
        <w:rPr>
          <w:rFonts w:cs="Arial"/>
          <w:b/>
          <w:bCs/>
          <w:color w:val="5E175E"/>
          <w:spacing w:val="11"/>
          <w:w w:val="95"/>
          <w:sz w:val="20"/>
          <w:szCs w:val="20"/>
          <w:lang w:val="en-GB"/>
        </w:rPr>
      </w:pPr>
    </w:p>
    <w:p w14:paraId="790E92CC" w14:textId="77777777" w:rsidR="00273510" w:rsidRPr="00A13F2C" w:rsidRDefault="00273510" w:rsidP="00273510">
      <w:pPr>
        <w:pStyle w:val="EinfacherAbsatz"/>
        <w:jc w:val="center"/>
        <w:rPr>
          <w:rFonts w:cs="Arial"/>
          <w:b/>
          <w:bCs/>
          <w:color w:val="5E175E"/>
          <w:spacing w:val="11"/>
          <w:w w:val="95"/>
          <w:sz w:val="20"/>
          <w:szCs w:val="20"/>
          <w:lang w:val="en-GB"/>
        </w:rPr>
      </w:pPr>
    </w:p>
    <w:p w14:paraId="3F228F59" w14:textId="77777777" w:rsidR="00273510" w:rsidRPr="000B0C1C" w:rsidRDefault="00273510" w:rsidP="000B0C1C">
      <w:pPr>
        <w:pStyle w:val="Title1"/>
        <w:pageBreakBefore w:val="0"/>
        <w:spacing w:before="0" w:after="113"/>
        <w:jc w:val="center"/>
        <w:rPr>
          <w:w w:val="95"/>
          <w:sz w:val="30"/>
          <w:szCs w:val="30"/>
          <w:lang w:val="en-GB"/>
        </w:rPr>
      </w:pPr>
      <w:bookmarkStart w:id="8" w:name="_Toc11105529"/>
      <w:r w:rsidRPr="000B0C1C">
        <w:rPr>
          <w:w w:val="95"/>
          <w:sz w:val="30"/>
          <w:szCs w:val="30"/>
          <w:lang w:val="en-GB"/>
        </w:rPr>
        <w:t>Table of Contents</w:t>
      </w:r>
      <w:bookmarkEnd w:id="8"/>
    </w:p>
    <w:p w14:paraId="2BE23142" w14:textId="77777777" w:rsidR="00273510" w:rsidRPr="00B359A2" w:rsidRDefault="00273510" w:rsidP="00273510">
      <w:pPr>
        <w:pStyle w:val="EinfacherAbsatz"/>
        <w:jc w:val="center"/>
        <w:rPr>
          <w:rFonts w:eastAsia="ColossalisBold" w:cs="Arial"/>
          <w:b/>
          <w:bCs/>
          <w:color w:val="5E175E"/>
          <w:spacing w:val="11"/>
          <w:w w:val="95"/>
          <w:sz w:val="20"/>
          <w:szCs w:val="20"/>
          <w:lang w:val="en-GB"/>
        </w:rPr>
      </w:pPr>
    </w:p>
    <w:p w14:paraId="1F888858" w14:textId="77777777" w:rsidR="00273510" w:rsidRPr="00B359A2" w:rsidRDefault="00273510" w:rsidP="00273510">
      <w:pPr>
        <w:pStyle w:val="EinfacherAbsatz"/>
        <w:jc w:val="center"/>
        <w:rPr>
          <w:rFonts w:eastAsia="ColossalisBold" w:cs="Arial"/>
          <w:b/>
          <w:bCs/>
          <w:color w:val="5E175E"/>
          <w:spacing w:val="11"/>
          <w:w w:val="95"/>
          <w:sz w:val="20"/>
          <w:szCs w:val="20"/>
          <w:lang w:val="en-GB"/>
        </w:rPr>
      </w:pPr>
    </w:p>
    <w:p w14:paraId="53E369DD" w14:textId="102C0A86" w:rsidR="00273510" w:rsidRPr="008521EA" w:rsidRDefault="00273510" w:rsidP="00273510">
      <w:pPr>
        <w:pStyle w:val="EinfacherAbsatz"/>
        <w:jc w:val="center"/>
        <w:rPr>
          <w:rFonts w:ascii="Times New Roman" w:eastAsia="ColossalisBold" w:hAnsi="Times New Roman" w:cs="Times New Roman"/>
          <w:b/>
          <w:bCs/>
          <w:color w:val="5E175E"/>
          <w:spacing w:val="11"/>
          <w:kern w:val="40"/>
          <w:sz w:val="40"/>
          <w:szCs w:val="40"/>
          <w:lang w:val="en-GB"/>
        </w:rPr>
      </w:pPr>
      <w:r w:rsidRPr="008521EA">
        <w:rPr>
          <w:rFonts w:ascii="Times New Roman" w:eastAsia="ColossalisBold" w:hAnsi="Times New Roman" w:cs="Times New Roman"/>
          <w:b/>
          <w:bCs/>
          <w:color w:val="5E175E"/>
          <w:spacing w:val="11"/>
          <w:kern w:val="40"/>
          <w:sz w:val="40"/>
          <w:szCs w:val="40"/>
          <w:lang w:val="en-GB"/>
        </w:rPr>
        <w:t xml:space="preserve">IGM Practices in </w:t>
      </w:r>
      <w:r w:rsidR="00706D78">
        <w:rPr>
          <w:rFonts w:ascii="Times New Roman" w:eastAsia="ColossalisBold" w:hAnsi="Times New Roman" w:cs="Times New Roman"/>
          <w:b/>
          <w:bCs/>
          <w:color w:val="5E175E"/>
          <w:spacing w:val="11"/>
          <w:kern w:val="40"/>
          <w:sz w:val="40"/>
          <w:szCs w:val="40"/>
          <w:lang w:val="en-GB"/>
        </w:rPr>
        <w:t>Austria</w:t>
      </w:r>
      <w:r>
        <w:rPr>
          <w:rFonts w:ascii="Times New Roman" w:eastAsia="ColossalisBold" w:hAnsi="Times New Roman" w:cs="Times New Roman"/>
          <w:b/>
          <w:bCs/>
          <w:color w:val="5E175E"/>
          <w:spacing w:val="11"/>
          <w:kern w:val="40"/>
          <w:sz w:val="40"/>
          <w:szCs w:val="40"/>
          <w:lang w:val="en-GB"/>
        </w:rPr>
        <w:t xml:space="preserve"> (p. </w:t>
      </w:r>
      <w:r w:rsidR="0090269B">
        <w:rPr>
          <w:rFonts w:ascii="Times New Roman" w:eastAsia="ColossalisBold" w:hAnsi="Times New Roman" w:cs="Times New Roman"/>
          <w:b/>
          <w:bCs/>
          <w:color w:val="5E175E"/>
          <w:spacing w:val="11"/>
          <w:kern w:val="40"/>
          <w:sz w:val="40"/>
          <w:szCs w:val="40"/>
          <w:lang w:val="en-GB"/>
        </w:rPr>
        <w:t>5</w:t>
      </w:r>
      <w:r>
        <w:rPr>
          <w:rFonts w:ascii="Times New Roman" w:eastAsia="ColossalisBold" w:hAnsi="Times New Roman" w:cs="Times New Roman"/>
          <w:b/>
          <w:bCs/>
          <w:color w:val="5E175E"/>
          <w:spacing w:val="11"/>
          <w:kern w:val="40"/>
          <w:sz w:val="40"/>
          <w:szCs w:val="40"/>
          <w:lang w:val="en-GB"/>
        </w:rPr>
        <w:t>–</w:t>
      </w:r>
      <w:r w:rsidR="0090269B">
        <w:rPr>
          <w:rFonts w:ascii="Times New Roman" w:eastAsia="ColossalisBold" w:hAnsi="Times New Roman" w:cs="Times New Roman"/>
          <w:b/>
          <w:bCs/>
          <w:color w:val="5E175E"/>
          <w:spacing w:val="11"/>
          <w:kern w:val="40"/>
          <w:sz w:val="40"/>
          <w:szCs w:val="40"/>
          <w:lang w:val="en-GB"/>
        </w:rPr>
        <w:t>14</w:t>
      </w:r>
      <w:r>
        <w:rPr>
          <w:rFonts w:ascii="Times New Roman" w:eastAsia="ColossalisBold" w:hAnsi="Times New Roman" w:cs="Times New Roman"/>
          <w:b/>
          <w:bCs/>
          <w:color w:val="5E175E"/>
          <w:spacing w:val="11"/>
          <w:kern w:val="40"/>
          <w:sz w:val="40"/>
          <w:szCs w:val="40"/>
          <w:lang w:val="en-GB"/>
        </w:rPr>
        <w:t>)</w:t>
      </w:r>
    </w:p>
    <w:p w14:paraId="56613194" w14:textId="77777777" w:rsidR="00273510" w:rsidRPr="00A13F2C" w:rsidRDefault="00273510" w:rsidP="00273510">
      <w:pPr>
        <w:pStyle w:val="EinfacherAbsatz"/>
        <w:jc w:val="center"/>
        <w:rPr>
          <w:rFonts w:eastAsia="ColossalisBold" w:cs="Arial"/>
          <w:b/>
          <w:bCs/>
          <w:color w:val="5E175E"/>
          <w:spacing w:val="11"/>
          <w:w w:val="95"/>
          <w:lang w:val="en-GB"/>
        </w:rPr>
      </w:pPr>
    </w:p>
    <w:p w14:paraId="0AA5A633" w14:textId="7EDC0F3C" w:rsidR="00094471" w:rsidRDefault="007665F2">
      <w:pPr>
        <w:pStyle w:val="TOC1"/>
        <w:rPr>
          <w:rFonts w:asciiTheme="minorHAnsi" w:eastAsiaTheme="minorEastAsia" w:hAnsiTheme="minorHAnsi" w:cstheme="minorBidi"/>
          <w:b w:val="0"/>
          <w:kern w:val="0"/>
          <w:sz w:val="24"/>
          <w:szCs w:val="24"/>
          <w:lang w:val="de-CH" w:bidi="ar-SA"/>
        </w:rPr>
      </w:pPr>
      <w:r>
        <w:fldChar w:fldCharType="begin"/>
      </w:r>
      <w:r>
        <w:instrText xml:space="preserve"> TOC \h \z \t "Title 1;1;Title 2;2;Title 3;3" </w:instrText>
      </w:r>
      <w:r>
        <w:fldChar w:fldCharType="separate"/>
      </w:r>
      <w:hyperlink w:anchor="_Toc11105528" w:history="1">
        <w:r w:rsidR="00094471" w:rsidRPr="00C87F9B">
          <w:rPr>
            <w:rStyle w:val="Hyperlink"/>
            <w:lang w:val="en-GB"/>
          </w:rPr>
          <w:t>Executive Summary</w:t>
        </w:r>
        <w:r w:rsidR="00094471">
          <w:rPr>
            <w:webHidden/>
          </w:rPr>
          <w:tab/>
        </w:r>
        <w:r w:rsidR="00094471">
          <w:rPr>
            <w:webHidden/>
          </w:rPr>
          <w:fldChar w:fldCharType="begin"/>
        </w:r>
        <w:r w:rsidR="00094471">
          <w:rPr>
            <w:webHidden/>
          </w:rPr>
          <w:instrText xml:space="preserve"> PAGEREF _Toc11105528 \h </w:instrText>
        </w:r>
        <w:r w:rsidR="00094471">
          <w:rPr>
            <w:webHidden/>
          </w:rPr>
        </w:r>
        <w:r w:rsidR="00094471">
          <w:rPr>
            <w:webHidden/>
          </w:rPr>
          <w:fldChar w:fldCharType="separate"/>
        </w:r>
        <w:r w:rsidR="00094471">
          <w:rPr>
            <w:webHidden/>
          </w:rPr>
          <w:t>3</w:t>
        </w:r>
        <w:r w:rsidR="00094471">
          <w:rPr>
            <w:webHidden/>
          </w:rPr>
          <w:fldChar w:fldCharType="end"/>
        </w:r>
      </w:hyperlink>
    </w:p>
    <w:p w14:paraId="0FE59E24" w14:textId="6DDF21EC" w:rsidR="00094471" w:rsidRDefault="00AD4F28">
      <w:pPr>
        <w:pStyle w:val="TOC1"/>
        <w:rPr>
          <w:rFonts w:asciiTheme="minorHAnsi" w:eastAsiaTheme="minorEastAsia" w:hAnsiTheme="minorHAnsi" w:cstheme="minorBidi"/>
          <w:b w:val="0"/>
          <w:kern w:val="0"/>
          <w:sz w:val="24"/>
          <w:szCs w:val="24"/>
          <w:lang w:val="de-CH" w:bidi="ar-SA"/>
        </w:rPr>
      </w:pPr>
      <w:hyperlink w:anchor="_Toc11105529" w:history="1">
        <w:r w:rsidR="00094471" w:rsidRPr="00C87F9B">
          <w:rPr>
            <w:rStyle w:val="Hyperlink"/>
            <w:w w:val="95"/>
            <w:lang w:val="en-GB"/>
          </w:rPr>
          <w:t>Table of Contents</w:t>
        </w:r>
        <w:r w:rsidR="00094471">
          <w:rPr>
            <w:webHidden/>
          </w:rPr>
          <w:tab/>
        </w:r>
        <w:r w:rsidR="00094471">
          <w:rPr>
            <w:webHidden/>
          </w:rPr>
          <w:fldChar w:fldCharType="begin"/>
        </w:r>
        <w:r w:rsidR="00094471">
          <w:rPr>
            <w:webHidden/>
          </w:rPr>
          <w:instrText xml:space="preserve"> PAGEREF _Toc11105529 \h </w:instrText>
        </w:r>
        <w:r w:rsidR="00094471">
          <w:rPr>
            <w:webHidden/>
          </w:rPr>
        </w:r>
        <w:r w:rsidR="00094471">
          <w:rPr>
            <w:webHidden/>
          </w:rPr>
          <w:fldChar w:fldCharType="separate"/>
        </w:r>
        <w:r w:rsidR="00094471">
          <w:rPr>
            <w:webHidden/>
          </w:rPr>
          <w:t>4</w:t>
        </w:r>
        <w:r w:rsidR="00094471">
          <w:rPr>
            <w:webHidden/>
          </w:rPr>
          <w:fldChar w:fldCharType="end"/>
        </w:r>
      </w:hyperlink>
    </w:p>
    <w:p w14:paraId="76F0739C" w14:textId="327A4206" w:rsidR="00094471" w:rsidRDefault="00AD4F28">
      <w:pPr>
        <w:pStyle w:val="TOC1"/>
        <w:rPr>
          <w:rFonts w:asciiTheme="minorHAnsi" w:eastAsiaTheme="minorEastAsia" w:hAnsiTheme="minorHAnsi" w:cstheme="minorBidi"/>
          <w:b w:val="0"/>
          <w:kern w:val="0"/>
          <w:sz w:val="24"/>
          <w:szCs w:val="24"/>
          <w:lang w:val="de-CH" w:bidi="ar-SA"/>
        </w:rPr>
      </w:pPr>
      <w:hyperlink w:anchor="_Toc11105530" w:history="1">
        <w:r w:rsidR="00094471" w:rsidRPr="00C87F9B">
          <w:rPr>
            <w:rStyle w:val="Hyperlink"/>
            <w:lang w:val="en-GB"/>
          </w:rPr>
          <w:t>A.  Introduction</w:t>
        </w:r>
        <w:r w:rsidR="00094471">
          <w:rPr>
            <w:webHidden/>
          </w:rPr>
          <w:tab/>
        </w:r>
        <w:r w:rsidR="00094471">
          <w:rPr>
            <w:webHidden/>
          </w:rPr>
          <w:fldChar w:fldCharType="begin"/>
        </w:r>
        <w:r w:rsidR="00094471">
          <w:rPr>
            <w:webHidden/>
          </w:rPr>
          <w:instrText xml:space="preserve"> PAGEREF _Toc11105530 \h </w:instrText>
        </w:r>
        <w:r w:rsidR="00094471">
          <w:rPr>
            <w:webHidden/>
          </w:rPr>
        </w:r>
        <w:r w:rsidR="00094471">
          <w:rPr>
            <w:webHidden/>
          </w:rPr>
          <w:fldChar w:fldCharType="separate"/>
        </w:r>
        <w:r w:rsidR="00094471">
          <w:rPr>
            <w:webHidden/>
          </w:rPr>
          <w:t>5</w:t>
        </w:r>
        <w:r w:rsidR="00094471">
          <w:rPr>
            <w:webHidden/>
          </w:rPr>
          <w:fldChar w:fldCharType="end"/>
        </w:r>
      </w:hyperlink>
    </w:p>
    <w:p w14:paraId="01903225" w14:textId="2878171B" w:rsidR="00094471" w:rsidRDefault="00AD4F28">
      <w:pPr>
        <w:pStyle w:val="TOC2"/>
        <w:tabs>
          <w:tab w:val="right" w:leader="dot" w:pos="9628"/>
        </w:tabs>
        <w:rPr>
          <w:rFonts w:asciiTheme="minorHAnsi" w:eastAsiaTheme="minorEastAsia" w:hAnsiTheme="minorHAnsi" w:cstheme="minorBidi"/>
          <w:noProof/>
          <w:kern w:val="0"/>
          <w:szCs w:val="24"/>
          <w:lang w:bidi="ar-SA"/>
        </w:rPr>
      </w:pPr>
      <w:hyperlink w:anchor="_Toc11105531" w:history="1">
        <w:r w:rsidR="00094471" w:rsidRPr="00C87F9B">
          <w:rPr>
            <w:rStyle w:val="Hyperlink"/>
            <w:noProof/>
          </w:rPr>
          <w:t>1.  Update: Intersex, IGM and Human Rights in Austria</w:t>
        </w:r>
        <w:r w:rsidR="00094471">
          <w:rPr>
            <w:noProof/>
            <w:webHidden/>
          </w:rPr>
          <w:tab/>
        </w:r>
        <w:r w:rsidR="00094471">
          <w:rPr>
            <w:noProof/>
            <w:webHidden/>
          </w:rPr>
          <w:fldChar w:fldCharType="begin"/>
        </w:r>
        <w:r w:rsidR="00094471">
          <w:rPr>
            <w:noProof/>
            <w:webHidden/>
          </w:rPr>
          <w:instrText xml:space="preserve"> PAGEREF _Toc11105531 \h </w:instrText>
        </w:r>
        <w:r w:rsidR="00094471">
          <w:rPr>
            <w:noProof/>
            <w:webHidden/>
          </w:rPr>
        </w:r>
        <w:r w:rsidR="00094471">
          <w:rPr>
            <w:noProof/>
            <w:webHidden/>
          </w:rPr>
          <w:fldChar w:fldCharType="separate"/>
        </w:r>
        <w:r w:rsidR="00094471">
          <w:rPr>
            <w:noProof/>
            <w:webHidden/>
          </w:rPr>
          <w:t>5</w:t>
        </w:r>
        <w:r w:rsidR="00094471">
          <w:rPr>
            <w:noProof/>
            <w:webHidden/>
          </w:rPr>
          <w:fldChar w:fldCharType="end"/>
        </w:r>
      </w:hyperlink>
    </w:p>
    <w:p w14:paraId="13E05C55" w14:textId="5E353976" w:rsidR="00094471" w:rsidRDefault="00AD4F28">
      <w:pPr>
        <w:pStyle w:val="TOC2"/>
        <w:tabs>
          <w:tab w:val="right" w:leader="dot" w:pos="9628"/>
        </w:tabs>
        <w:rPr>
          <w:rFonts w:asciiTheme="minorHAnsi" w:eastAsiaTheme="minorEastAsia" w:hAnsiTheme="minorHAnsi" w:cstheme="minorBidi"/>
          <w:noProof/>
          <w:kern w:val="0"/>
          <w:szCs w:val="24"/>
          <w:lang w:bidi="ar-SA"/>
        </w:rPr>
      </w:pPr>
      <w:hyperlink w:anchor="_Toc11105532" w:history="1">
        <w:r w:rsidR="00094471" w:rsidRPr="00C87F9B">
          <w:rPr>
            <w:rStyle w:val="Hyperlink"/>
            <w:noProof/>
          </w:rPr>
          <w:t>2.  About the Rapporteurs</w:t>
        </w:r>
        <w:r w:rsidR="00094471">
          <w:rPr>
            <w:noProof/>
            <w:webHidden/>
          </w:rPr>
          <w:tab/>
        </w:r>
        <w:r w:rsidR="00094471">
          <w:rPr>
            <w:noProof/>
            <w:webHidden/>
          </w:rPr>
          <w:fldChar w:fldCharType="begin"/>
        </w:r>
        <w:r w:rsidR="00094471">
          <w:rPr>
            <w:noProof/>
            <w:webHidden/>
          </w:rPr>
          <w:instrText xml:space="preserve"> PAGEREF _Toc11105532 \h </w:instrText>
        </w:r>
        <w:r w:rsidR="00094471">
          <w:rPr>
            <w:noProof/>
            <w:webHidden/>
          </w:rPr>
        </w:r>
        <w:r w:rsidR="00094471">
          <w:rPr>
            <w:noProof/>
            <w:webHidden/>
          </w:rPr>
          <w:fldChar w:fldCharType="separate"/>
        </w:r>
        <w:r w:rsidR="00094471">
          <w:rPr>
            <w:noProof/>
            <w:webHidden/>
          </w:rPr>
          <w:t>5</w:t>
        </w:r>
        <w:r w:rsidR="00094471">
          <w:rPr>
            <w:noProof/>
            <w:webHidden/>
          </w:rPr>
          <w:fldChar w:fldCharType="end"/>
        </w:r>
      </w:hyperlink>
    </w:p>
    <w:p w14:paraId="2142E6C6" w14:textId="231982B7" w:rsidR="00094471" w:rsidRDefault="00AD4F28">
      <w:pPr>
        <w:pStyle w:val="TOC2"/>
        <w:tabs>
          <w:tab w:val="right" w:leader="dot" w:pos="9628"/>
        </w:tabs>
        <w:rPr>
          <w:rFonts w:asciiTheme="minorHAnsi" w:eastAsiaTheme="minorEastAsia" w:hAnsiTheme="minorHAnsi" w:cstheme="minorBidi"/>
          <w:noProof/>
          <w:kern w:val="0"/>
          <w:szCs w:val="24"/>
          <w:lang w:bidi="ar-SA"/>
        </w:rPr>
      </w:pPr>
      <w:hyperlink w:anchor="_Toc11105533" w:history="1">
        <w:r w:rsidR="00094471" w:rsidRPr="00C87F9B">
          <w:rPr>
            <w:rStyle w:val="Hyperlink"/>
            <w:noProof/>
          </w:rPr>
          <w:t>3.  Methodology</w:t>
        </w:r>
        <w:r w:rsidR="00094471">
          <w:rPr>
            <w:noProof/>
            <w:webHidden/>
          </w:rPr>
          <w:tab/>
        </w:r>
        <w:r w:rsidR="00094471">
          <w:rPr>
            <w:noProof/>
            <w:webHidden/>
          </w:rPr>
          <w:fldChar w:fldCharType="begin"/>
        </w:r>
        <w:r w:rsidR="00094471">
          <w:rPr>
            <w:noProof/>
            <w:webHidden/>
          </w:rPr>
          <w:instrText xml:space="preserve"> PAGEREF _Toc11105533 \h </w:instrText>
        </w:r>
        <w:r w:rsidR="00094471">
          <w:rPr>
            <w:noProof/>
            <w:webHidden/>
          </w:rPr>
        </w:r>
        <w:r w:rsidR="00094471">
          <w:rPr>
            <w:noProof/>
            <w:webHidden/>
          </w:rPr>
          <w:fldChar w:fldCharType="separate"/>
        </w:r>
        <w:r w:rsidR="00094471">
          <w:rPr>
            <w:noProof/>
            <w:webHidden/>
          </w:rPr>
          <w:t>5</w:t>
        </w:r>
        <w:r w:rsidR="00094471">
          <w:rPr>
            <w:noProof/>
            <w:webHidden/>
          </w:rPr>
          <w:fldChar w:fldCharType="end"/>
        </w:r>
      </w:hyperlink>
    </w:p>
    <w:p w14:paraId="1E9BFA42" w14:textId="15C04002" w:rsidR="00094471" w:rsidRDefault="00AD4F28">
      <w:pPr>
        <w:pStyle w:val="TOC1"/>
        <w:rPr>
          <w:rFonts w:asciiTheme="minorHAnsi" w:eastAsiaTheme="minorEastAsia" w:hAnsiTheme="minorHAnsi" w:cstheme="minorBidi"/>
          <w:b w:val="0"/>
          <w:kern w:val="0"/>
          <w:sz w:val="24"/>
          <w:szCs w:val="24"/>
          <w:lang w:val="de-CH" w:bidi="ar-SA"/>
        </w:rPr>
      </w:pPr>
      <w:hyperlink w:anchor="_Toc11105534" w:history="1">
        <w:r w:rsidR="00094471" w:rsidRPr="00C87F9B">
          <w:rPr>
            <w:rStyle w:val="Hyperlink"/>
          </w:rPr>
          <w:t>B.  Precedents</w:t>
        </w:r>
        <w:r w:rsidR="00094471">
          <w:rPr>
            <w:webHidden/>
          </w:rPr>
          <w:tab/>
        </w:r>
        <w:r w:rsidR="00094471">
          <w:rPr>
            <w:webHidden/>
          </w:rPr>
          <w:fldChar w:fldCharType="begin"/>
        </w:r>
        <w:r w:rsidR="00094471">
          <w:rPr>
            <w:webHidden/>
          </w:rPr>
          <w:instrText xml:space="preserve"> PAGEREF _Toc11105534 \h </w:instrText>
        </w:r>
        <w:r w:rsidR="00094471">
          <w:rPr>
            <w:webHidden/>
          </w:rPr>
        </w:r>
        <w:r w:rsidR="00094471">
          <w:rPr>
            <w:webHidden/>
          </w:rPr>
          <w:fldChar w:fldCharType="separate"/>
        </w:r>
        <w:r w:rsidR="00094471">
          <w:rPr>
            <w:webHidden/>
          </w:rPr>
          <w:t>6</w:t>
        </w:r>
        <w:r w:rsidR="00094471">
          <w:rPr>
            <w:webHidden/>
          </w:rPr>
          <w:fldChar w:fldCharType="end"/>
        </w:r>
      </w:hyperlink>
    </w:p>
    <w:p w14:paraId="60DC7A46" w14:textId="68790B97" w:rsidR="00094471" w:rsidRDefault="00AD4F28">
      <w:pPr>
        <w:pStyle w:val="TOC2"/>
        <w:tabs>
          <w:tab w:val="right" w:leader="dot" w:pos="9628"/>
        </w:tabs>
        <w:rPr>
          <w:rFonts w:asciiTheme="minorHAnsi" w:eastAsiaTheme="minorEastAsia" w:hAnsiTheme="minorHAnsi" w:cstheme="minorBidi"/>
          <w:noProof/>
          <w:kern w:val="0"/>
          <w:szCs w:val="24"/>
          <w:lang w:bidi="ar-SA"/>
        </w:rPr>
      </w:pPr>
      <w:hyperlink w:anchor="_Toc11105535" w:history="1">
        <w:r w:rsidR="00094471" w:rsidRPr="00C87F9B">
          <w:rPr>
            <w:rStyle w:val="Hyperlink"/>
            <w:noProof/>
          </w:rPr>
          <w:t>1.  2016 CAT Concluding Observations on Intersex (</w:t>
        </w:r>
        <w:r w:rsidR="00094471" w:rsidRPr="00C87F9B">
          <w:rPr>
            <w:rStyle w:val="Hyperlink"/>
            <w:noProof/>
            <w:lang w:val="en-US"/>
          </w:rPr>
          <w:t>CAT/C/AUT/CO/6, paras 44–45)</w:t>
        </w:r>
        <w:r w:rsidR="00094471">
          <w:rPr>
            <w:noProof/>
            <w:webHidden/>
          </w:rPr>
          <w:tab/>
        </w:r>
        <w:r w:rsidR="00094471">
          <w:rPr>
            <w:noProof/>
            <w:webHidden/>
          </w:rPr>
          <w:fldChar w:fldCharType="begin"/>
        </w:r>
        <w:r w:rsidR="00094471">
          <w:rPr>
            <w:noProof/>
            <w:webHidden/>
          </w:rPr>
          <w:instrText xml:space="preserve"> PAGEREF _Toc11105535 \h </w:instrText>
        </w:r>
        <w:r w:rsidR="00094471">
          <w:rPr>
            <w:noProof/>
            <w:webHidden/>
          </w:rPr>
        </w:r>
        <w:r w:rsidR="00094471">
          <w:rPr>
            <w:noProof/>
            <w:webHidden/>
          </w:rPr>
          <w:fldChar w:fldCharType="separate"/>
        </w:r>
        <w:r w:rsidR="00094471">
          <w:rPr>
            <w:noProof/>
            <w:webHidden/>
          </w:rPr>
          <w:t>6</w:t>
        </w:r>
        <w:r w:rsidR="00094471">
          <w:rPr>
            <w:noProof/>
            <w:webHidden/>
          </w:rPr>
          <w:fldChar w:fldCharType="end"/>
        </w:r>
      </w:hyperlink>
    </w:p>
    <w:p w14:paraId="054BABC8" w14:textId="4A98ADB5" w:rsidR="00094471" w:rsidRDefault="00AD4F28">
      <w:pPr>
        <w:pStyle w:val="TOC2"/>
        <w:tabs>
          <w:tab w:val="right" w:leader="dot" w:pos="9628"/>
        </w:tabs>
        <w:rPr>
          <w:rFonts w:asciiTheme="minorHAnsi" w:eastAsiaTheme="minorEastAsia" w:hAnsiTheme="minorHAnsi" w:cstheme="minorBidi"/>
          <w:noProof/>
          <w:kern w:val="0"/>
          <w:szCs w:val="24"/>
          <w:lang w:bidi="ar-SA"/>
        </w:rPr>
      </w:pPr>
      <w:hyperlink w:anchor="_Toc11105536" w:history="1">
        <w:r w:rsidR="00094471" w:rsidRPr="00C87F9B">
          <w:rPr>
            <w:rStyle w:val="Hyperlink"/>
            <w:noProof/>
          </w:rPr>
          <w:t>2.  2018 List of Issues on Intersex (</w:t>
        </w:r>
        <w:r w:rsidR="00094471" w:rsidRPr="00C87F9B">
          <w:rPr>
            <w:rStyle w:val="Hyperlink"/>
            <w:noProof/>
            <w:lang w:val="en-US"/>
          </w:rPr>
          <w:t>CEDAW/C/AUT/Q/9</w:t>
        </w:r>
        <w:r w:rsidR="00094471" w:rsidRPr="00C87F9B">
          <w:rPr>
            <w:rStyle w:val="Hyperlink"/>
            <w:noProof/>
          </w:rPr>
          <w:t>, para 11</w:t>
        </w:r>
        <w:r w:rsidR="00094471" w:rsidRPr="00C87F9B">
          <w:rPr>
            <w:rStyle w:val="Hyperlink"/>
            <w:noProof/>
            <w:lang w:val="en-US"/>
          </w:rPr>
          <w:t>)</w:t>
        </w:r>
        <w:r w:rsidR="00094471">
          <w:rPr>
            <w:noProof/>
            <w:webHidden/>
          </w:rPr>
          <w:tab/>
        </w:r>
        <w:r w:rsidR="00094471">
          <w:rPr>
            <w:noProof/>
            <w:webHidden/>
          </w:rPr>
          <w:fldChar w:fldCharType="begin"/>
        </w:r>
        <w:r w:rsidR="00094471">
          <w:rPr>
            <w:noProof/>
            <w:webHidden/>
          </w:rPr>
          <w:instrText xml:space="preserve"> PAGEREF _Toc11105536 \h </w:instrText>
        </w:r>
        <w:r w:rsidR="00094471">
          <w:rPr>
            <w:noProof/>
            <w:webHidden/>
          </w:rPr>
        </w:r>
        <w:r w:rsidR="00094471">
          <w:rPr>
            <w:noProof/>
            <w:webHidden/>
          </w:rPr>
          <w:fldChar w:fldCharType="separate"/>
        </w:r>
        <w:r w:rsidR="00094471">
          <w:rPr>
            <w:noProof/>
            <w:webHidden/>
          </w:rPr>
          <w:t>7</w:t>
        </w:r>
        <w:r w:rsidR="00094471">
          <w:rPr>
            <w:noProof/>
            <w:webHidden/>
          </w:rPr>
          <w:fldChar w:fldCharType="end"/>
        </w:r>
      </w:hyperlink>
    </w:p>
    <w:p w14:paraId="4309D972" w14:textId="5523DB47" w:rsidR="00094471" w:rsidRDefault="00AD4F28">
      <w:pPr>
        <w:pStyle w:val="TOC2"/>
        <w:tabs>
          <w:tab w:val="right" w:leader="dot" w:pos="9628"/>
        </w:tabs>
        <w:rPr>
          <w:rFonts w:asciiTheme="minorHAnsi" w:eastAsiaTheme="minorEastAsia" w:hAnsiTheme="minorHAnsi" w:cstheme="minorBidi"/>
          <w:noProof/>
          <w:kern w:val="0"/>
          <w:szCs w:val="24"/>
          <w:lang w:bidi="ar-SA"/>
        </w:rPr>
      </w:pPr>
      <w:hyperlink w:anchor="_Toc11105537" w:history="1">
        <w:r w:rsidR="00094471" w:rsidRPr="00C87F9B">
          <w:rPr>
            <w:rStyle w:val="Hyperlink"/>
            <w:noProof/>
          </w:rPr>
          <w:t xml:space="preserve">3.  2019 Reply to </w:t>
        </w:r>
        <w:r w:rsidR="00094471">
          <w:rPr>
            <w:rStyle w:val="Hyperlink"/>
            <w:noProof/>
          </w:rPr>
          <w:t xml:space="preserve">the List of Issues on Intersex </w:t>
        </w:r>
        <w:r w:rsidR="00094471" w:rsidRPr="00C87F9B">
          <w:rPr>
            <w:rStyle w:val="Hyperlink"/>
            <w:noProof/>
          </w:rPr>
          <w:t>(CEDAW/C/AUT/Q/9/Add.1, paras 67-69)</w:t>
        </w:r>
        <w:r w:rsidR="00094471">
          <w:rPr>
            <w:noProof/>
            <w:webHidden/>
          </w:rPr>
          <w:tab/>
        </w:r>
        <w:r w:rsidR="00094471">
          <w:rPr>
            <w:noProof/>
            <w:webHidden/>
          </w:rPr>
          <w:fldChar w:fldCharType="begin"/>
        </w:r>
        <w:r w:rsidR="00094471">
          <w:rPr>
            <w:noProof/>
            <w:webHidden/>
          </w:rPr>
          <w:instrText xml:space="preserve"> PAGEREF _Toc11105537 \h </w:instrText>
        </w:r>
        <w:r w:rsidR="00094471">
          <w:rPr>
            <w:noProof/>
            <w:webHidden/>
          </w:rPr>
        </w:r>
        <w:r w:rsidR="00094471">
          <w:rPr>
            <w:noProof/>
            <w:webHidden/>
          </w:rPr>
          <w:fldChar w:fldCharType="separate"/>
        </w:r>
        <w:r w:rsidR="00094471">
          <w:rPr>
            <w:noProof/>
            <w:webHidden/>
          </w:rPr>
          <w:t>7</w:t>
        </w:r>
        <w:r w:rsidR="00094471">
          <w:rPr>
            <w:noProof/>
            <w:webHidden/>
          </w:rPr>
          <w:fldChar w:fldCharType="end"/>
        </w:r>
      </w:hyperlink>
    </w:p>
    <w:p w14:paraId="6BE7B052" w14:textId="554EDDD5" w:rsidR="00094471" w:rsidRDefault="00AD4F28">
      <w:pPr>
        <w:pStyle w:val="TOC1"/>
        <w:rPr>
          <w:rFonts w:asciiTheme="minorHAnsi" w:eastAsiaTheme="minorEastAsia" w:hAnsiTheme="minorHAnsi" w:cstheme="minorBidi"/>
          <w:b w:val="0"/>
          <w:kern w:val="0"/>
          <w:sz w:val="24"/>
          <w:szCs w:val="24"/>
          <w:lang w:val="de-CH" w:bidi="ar-SA"/>
        </w:rPr>
      </w:pPr>
      <w:hyperlink w:anchor="_Toc11105538" w:history="1">
        <w:r w:rsidR="00094471" w:rsidRPr="00C87F9B">
          <w:rPr>
            <w:rStyle w:val="Hyperlink"/>
          </w:rPr>
          <w:t>C</w:t>
        </w:r>
        <w:r w:rsidR="00094471" w:rsidRPr="00C87F9B">
          <w:rPr>
            <w:rStyle w:val="Hyperlink"/>
            <w:lang w:val="en-GB"/>
          </w:rPr>
          <w:t>.  IGM in Austria: Still State-sponsored and pervasive, Gov fails to act</w:t>
        </w:r>
        <w:r w:rsidR="00094471">
          <w:rPr>
            <w:webHidden/>
          </w:rPr>
          <w:tab/>
        </w:r>
        <w:r w:rsidR="00094471">
          <w:rPr>
            <w:webHidden/>
          </w:rPr>
          <w:fldChar w:fldCharType="begin"/>
        </w:r>
        <w:r w:rsidR="00094471">
          <w:rPr>
            <w:webHidden/>
          </w:rPr>
          <w:instrText xml:space="preserve"> PAGEREF _Toc11105538 \h </w:instrText>
        </w:r>
        <w:r w:rsidR="00094471">
          <w:rPr>
            <w:webHidden/>
          </w:rPr>
        </w:r>
        <w:r w:rsidR="00094471">
          <w:rPr>
            <w:webHidden/>
          </w:rPr>
          <w:fldChar w:fldCharType="separate"/>
        </w:r>
        <w:r w:rsidR="00094471">
          <w:rPr>
            <w:webHidden/>
          </w:rPr>
          <w:t>8</w:t>
        </w:r>
        <w:r w:rsidR="00094471">
          <w:rPr>
            <w:webHidden/>
          </w:rPr>
          <w:fldChar w:fldCharType="end"/>
        </w:r>
      </w:hyperlink>
    </w:p>
    <w:p w14:paraId="326425B0" w14:textId="0ABFF984" w:rsidR="00094471" w:rsidRDefault="00AD4F28">
      <w:pPr>
        <w:pStyle w:val="TOC2"/>
        <w:tabs>
          <w:tab w:val="right" w:leader="dot" w:pos="9628"/>
        </w:tabs>
        <w:rPr>
          <w:rFonts w:asciiTheme="minorHAnsi" w:eastAsiaTheme="minorEastAsia" w:hAnsiTheme="minorHAnsi" w:cstheme="minorBidi"/>
          <w:noProof/>
          <w:kern w:val="0"/>
          <w:szCs w:val="24"/>
          <w:lang w:bidi="ar-SA"/>
        </w:rPr>
      </w:pPr>
      <w:hyperlink w:anchor="_Toc11105539" w:history="1">
        <w:r w:rsidR="00094471" w:rsidRPr="00C87F9B">
          <w:rPr>
            <w:rStyle w:val="Hyperlink"/>
            <w:noProof/>
          </w:rPr>
          <w:t>1.  Update: Still no protections, IGM practices continue unchanged (art. 5)</w:t>
        </w:r>
        <w:r w:rsidR="00094471">
          <w:rPr>
            <w:noProof/>
            <w:webHidden/>
          </w:rPr>
          <w:tab/>
        </w:r>
        <w:r w:rsidR="00094471">
          <w:rPr>
            <w:noProof/>
            <w:webHidden/>
          </w:rPr>
          <w:fldChar w:fldCharType="begin"/>
        </w:r>
        <w:r w:rsidR="00094471">
          <w:rPr>
            <w:noProof/>
            <w:webHidden/>
          </w:rPr>
          <w:instrText xml:space="preserve"> PAGEREF _Toc11105539 \h </w:instrText>
        </w:r>
        <w:r w:rsidR="00094471">
          <w:rPr>
            <w:noProof/>
            <w:webHidden/>
          </w:rPr>
        </w:r>
        <w:r w:rsidR="00094471">
          <w:rPr>
            <w:noProof/>
            <w:webHidden/>
          </w:rPr>
          <w:fldChar w:fldCharType="separate"/>
        </w:r>
        <w:r w:rsidR="00094471">
          <w:rPr>
            <w:noProof/>
            <w:webHidden/>
          </w:rPr>
          <w:t>8</w:t>
        </w:r>
        <w:r w:rsidR="00094471">
          <w:rPr>
            <w:noProof/>
            <w:webHidden/>
          </w:rPr>
          <w:fldChar w:fldCharType="end"/>
        </w:r>
      </w:hyperlink>
    </w:p>
    <w:p w14:paraId="470699FE" w14:textId="2FFEAB8C" w:rsidR="00094471" w:rsidRDefault="00AD4F28">
      <w:pPr>
        <w:pStyle w:val="TOC2"/>
        <w:tabs>
          <w:tab w:val="right" w:leader="dot" w:pos="9628"/>
        </w:tabs>
        <w:rPr>
          <w:rFonts w:asciiTheme="minorHAnsi" w:eastAsiaTheme="minorEastAsia" w:hAnsiTheme="minorHAnsi" w:cstheme="minorBidi"/>
          <w:noProof/>
          <w:kern w:val="0"/>
          <w:szCs w:val="24"/>
          <w:lang w:bidi="ar-SA"/>
        </w:rPr>
      </w:pPr>
      <w:hyperlink w:anchor="_Toc11105540" w:history="1">
        <w:r w:rsidR="00094471" w:rsidRPr="00C87F9B">
          <w:rPr>
            <w:rStyle w:val="Hyperlink"/>
            <w:noProof/>
          </w:rPr>
          <w:t>2.  The Treatment of Intersex Children in Austria as a Harmful Practice and Violence</w:t>
        </w:r>
        <w:r w:rsidR="00094471">
          <w:rPr>
            <w:noProof/>
            <w:webHidden/>
          </w:rPr>
          <w:tab/>
        </w:r>
        <w:r w:rsidR="00094471">
          <w:rPr>
            <w:noProof/>
            <w:webHidden/>
          </w:rPr>
          <w:fldChar w:fldCharType="begin"/>
        </w:r>
        <w:r w:rsidR="00094471">
          <w:rPr>
            <w:noProof/>
            <w:webHidden/>
          </w:rPr>
          <w:instrText xml:space="preserve"> PAGEREF _Toc11105540 \h </w:instrText>
        </w:r>
        <w:r w:rsidR="00094471">
          <w:rPr>
            <w:noProof/>
            <w:webHidden/>
          </w:rPr>
        </w:r>
        <w:r w:rsidR="00094471">
          <w:rPr>
            <w:noProof/>
            <w:webHidden/>
          </w:rPr>
          <w:fldChar w:fldCharType="separate"/>
        </w:r>
        <w:r w:rsidR="00094471">
          <w:rPr>
            <w:noProof/>
            <w:webHidden/>
          </w:rPr>
          <w:t>8</w:t>
        </w:r>
        <w:r w:rsidR="00094471">
          <w:rPr>
            <w:noProof/>
            <w:webHidden/>
          </w:rPr>
          <w:fldChar w:fldCharType="end"/>
        </w:r>
      </w:hyperlink>
    </w:p>
    <w:p w14:paraId="634E82EF" w14:textId="67F1E2E3" w:rsidR="00094471" w:rsidRDefault="00AD4F28">
      <w:pPr>
        <w:pStyle w:val="TOC3"/>
        <w:tabs>
          <w:tab w:val="right" w:leader="dot" w:pos="9628"/>
        </w:tabs>
        <w:rPr>
          <w:rFonts w:asciiTheme="minorHAnsi" w:eastAsiaTheme="minorEastAsia" w:hAnsiTheme="minorHAnsi" w:cstheme="minorBidi"/>
          <w:noProof/>
          <w:kern w:val="0"/>
          <w:szCs w:val="24"/>
          <w:lang w:bidi="ar-SA"/>
        </w:rPr>
      </w:pPr>
      <w:hyperlink w:anchor="_Toc11105541" w:history="1">
        <w:r w:rsidR="00094471" w:rsidRPr="00C87F9B">
          <w:rPr>
            <w:rStyle w:val="Hyperlink"/>
            <w:noProof/>
          </w:rPr>
          <w:t>a) Harmful Practice (art. 5 and JGR No. 31)</w:t>
        </w:r>
        <w:r w:rsidR="00094471" w:rsidRPr="00C87F9B">
          <w:rPr>
            <w:rStyle w:val="Hyperlink"/>
            <w:rFonts w:eastAsia="Baskerville-SemiBold"/>
            <w:noProof/>
          </w:rPr>
          <w:t xml:space="preserve"> </w:t>
        </w:r>
        <w:r w:rsidR="00094471">
          <w:rPr>
            <w:noProof/>
            <w:webHidden/>
          </w:rPr>
          <w:tab/>
        </w:r>
        <w:r w:rsidR="00094471">
          <w:rPr>
            <w:noProof/>
            <w:webHidden/>
          </w:rPr>
          <w:fldChar w:fldCharType="begin"/>
        </w:r>
        <w:r w:rsidR="00094471">
          <w:rPr>
            <w:noProof/>
            <w:webHidden/>
          </w:rPr>
          <w:instrText xml:space="preserve"> PAGEREF _Toc11105541 \h </w:instrText>
        </w:r>
        <w:r w:rsidR="00094471">
          <w:rPr>
            <w:noProof/>
            <w:webHidden/>
          </w:rPr>
        </w:r>
        <w:r w:rsidR="00094471">
          <w:rPr>
            <w:noProof/>
            <w:webHidden/>
          </w:rPr>
          <w:fldChar w:fldCharType="separate"/>
        </w:r>
        <w:r w:rsidR="00094471">
          <w:rPr>
            <w:noProof/>
            <w:webHidden/>
          </w:rPr>
          <w:t>8</w:t>
        </w:r>
        <w:r w:rsidR="00094471">
          <w:rPr>
            <w:noProof/>
            <w:webHidden/>
          </w:rPr>
          <w:fldChar w:fldCharType="end"/>
        </w:r>
      </w:hyperlink>
    </w:p>
    <w:p w14:paraId="5601E69C" w14:textId="0C8865A0" w:rsidR="00094471" w:rsidRDefault="00AD4F28">
      <w:pPr>
        <w:pStyle w:val="TOC3"/>
        <w:tabs>
          <w:tab w:val="right" w:leader="dot" w:pos="9628"/>
        </w:tabs>
        <w:rPr>
          <w:rFonts w:asciiTheme="minorHAnsi" w:eastAsiaTheme="minorEastAsia" w:hAnsiTheme="minorHAnsi" w:cstheme="minorBidi"/>
          <w:noProof/>
          <w:kern w:val="0"/>
          <w:szCs w:val="24"/>
          <w:lang w:bidi="ar-SA"/>
        </w:rPr>
      </w:pPr>
      <w:hyperlink w:anchor="_Toc11105542" w:history="1">
        <w:r w:rsidR="00094471" w:rsidRPr="00C87F9B">
          <w:rPr>
            <w:rStyle w:val="Hyperlink"/>
            <w:noProof/>
          </w:rPr>
          <w:t>b) Violence (arts. 1 and 2 in conjunction with General recommendation No. 35)</w:t>
        </w:r>
        <w:r w:rsidR="00094471">
          <w:rPr>
            <w:noProof/>
            <w:webHidden/>
          </w:rPr>
          <w:tab/>
        </w:r>
        <w:r w:rsidR="00094471">
          <w:rPr>
            <w:noProof/>
            <w:webHidden/>
          </w:rPr>
          <w:fldChar w:fldCharType="begin"/>
        </w:r>
        <w:r w:rsidR="00094471">
          <w:rPr>
            <w:noProof/>
            <w:webHidden/>
          </w:rPr>
          <w:instrText xml:space="preserve"> PAGEREF _Toc11105542 \h </w:instrText>
        </w:r>
        <w:r w:rsidR="00094471">
          <w:rPr>
            <w:noProof/>
            <w:webHidden/>
          </w:rPr>
        </w:r>
        <w:r w:rsidR="00094471">
          <w:rPr>
            <w:noProof/>
            <w:webHidden/>
          </w:rPr>
          <w:fldChar w:fldCharType="separate"/>
        </w:r>
        <w:r w:rsidR="00094471">
          <w:rPr>
            <w:noProof/>
            <w:webHidden/>
          </w:rPr>
          <w:t>9</w:t>
        </w:r>
        <w:r w:rsidR="00094471">
          <w:rPr>
            <w:noProof/>
            <w:webHidden/>
          </w:rPr>
          <w:fldChar w:fldCharType="end"/>
        </w:r>
      </w:hyperlink>
    </w:p>
    <w:p w14:paraId="21F8DC12" w14:textId="25849ADD" w:rsidR="00094471" w:rsidRDefault="00AD4F28">
      <w:pPr>
        <w:pStyle w:val="TOC2"/>
        <w:tabs>
          <w:tab w:val="right" w:leader="dot" w:pos="9628"/>
        </w:tabs>
        <w:rPr>
          <w:rFonts w:asciiTheme="minorHAnsi" w:eastAsiaTheme="minorEastAsia" w:hAnsiTheme="minorHAnsi" w:cstheme="minorBidi"/>
          <w:noProof/>
          <w:kern w:val="0"/>
          <w:szCs w:val="24"/>
          <w:lang w:bidi="ar-SA"/>
        </w:rPr>
      </w:pPr>
      <w:hyperlink w:anchor="_Toc11105543" w:history="1">
        <w:r w:rsidR="00094471" w:rsidRPr="00C87F9B">
          <w:rPr>
            <w:rStyle w:val="Hyperlink"/>
            <w:noProof/>
          </w:rPr>
          <w:t>3.  Lack of Legislative Provisions to Ensure Protection from IGM Practices,</w:t>
        </w:r>
        <w:r w:rsidR="00094471">
          <w:rPr>
            <w:rStyle w:val="Hyperlink"/>
            <w:noProof/>
          </w:rPr>
          <w:br/>
        </w:r>
        <w:r w:rsidR="00094471" w:rsidRPr="00C87F9B">
          <w:rPr>
            <w:rStyle w:val="Hyperlink"/>
            <w:noProof/>
          </w:rPr>
          <w:t xml:space="preserve">     Impunity of the Perpetrators (art. 5 and JGR No. 31; art. 2 and GR No. 35)</w:t>
        </w:r>
        <w:r w:rsidR="00094471">
          <w:rPr>
            <w:noProof/>
            <w:webHidden/>
          </w:rPr>
          <w:tab/>
        </w:r>
        <w:r w:rsidR="00094471">
          <w:rPr>
            <w:noProof/>
            <w:webHidden/>
          </w:rPr>
          <w:fldChar w:fldCharType="begin"/>
        </w:r>
        <w:r w:rsidR="00094471">
          <w:rPr>
            <w:noProof/>
            <w:webHidden/>
          </w:rPr>
          <w:instrText xml:space="preserve"> PAGEREF _Toc11105543 \h </w:instrText>
        </w:r>
        <w:r w:rsidR="00094471">
          <w:rPr>
            <w:noProof/>
            <w:webHidden/>
          </w:rPr>
        </w:r>
        <w:r w:rsidR="00094471">
          <w:rPr>
            <w:noProof/>
            <w:webHidden/>
          </w:rPr>
          <w:fldChar w:fldCharType="separate"/>
        </w:r>
        <w:r w:rsidR="00094471">
          <w:rPr>
            <w:noProof/>
            <w:webHidden/>
          </w:rPr>
          <w:t>10</w:t>
        </w:r>
        <w:r w:rsidR="00094471">
          <w:rPr>
            <w:noProof/>
            <w:webHidden/>
          </w:rPr>
          <w:fldChar w:fldCharType="end"/>
        </w:r>
      </w:hyperlink>
    </w:p>
    <w:p w14:paraId="631F5981" w14:textId="3C0D39E2" w:rsidR="00094471" w:rsidRDefault="00AD4F28">
      <w:pPr>
        <w:pStyle w:val="TOC2"/>
        <w:tabs>
          <w:tab w:val="right" w:leader="dot" w:pos="9628"/>
        </w:tabs>
        <w:rPr>
          <w:rFonts w:asciiTheme="minorHAnsi" w:eastAsiaTheme="minorEastAsia" w:hAnsiTheme="minorHAnsi" w:cstheme="minorBidi"/>
          <w:noProof/>
          <w:kern w:val="0"/>
          <w:szCs w:val="24"/>
          <w:lang w:bidi="ar-SA"/>
        </w:rPr>
      </w:pPr>
      <w:hyperlink w:anchor="_Toc11105544" w:history="1">
        <w:r w:rsidR="00094471" w:rsidRPr="00C87F9B">
          <w:rPr>
            <w:rStyle w:val="Hyperlink"/>
            <w:noProof/>
          </w:rPr>
          <w:t xml:space="preserve">4.  Obstacles to Redress, Fair and Adequate Compensation, and Rehabilitation </w:t>
        </w:r>
        <w:r w:rsidR="00094471">
          <w:rPr>
            <w:rStyle w:val="Hyperlink"/>
            <w:noProof/>
          </w:rPr>
          <w:br/>
        </w:r>
        <w:r w:rsidR="00094471" w:rsidRPr="00C87F9B">
          <w:rPr>
            <w:rStyle w:val="Hyperlink"/>
            <w:noProof/>
          </w:rPr>
          <w:t xml:space="preserve">     (art. 5 and JGR No. 31; art</w:t>
        </w:r>
        <w:r w:rsidR="00342473">
          <w:rPr>
            <w:rStyle w:val="Hyperlink"/>
            <w:noProof/>
          </w:rPr>
          <w:t>. 2</w:t>
        </w:r>
        <w:r w:rsidR="00094471" w:rsidRPr="00C87F9B">
          <w:rPr>
            <w:rStyle w:val="Hyperlink"/>
            <w:noProof/>
          </w:rPr>
          <w:t xml:space="preserve"> and GR No. 35)</w:t>
        </w:r>
        <w:r w:rsidR="00094471">
          <w:rPr>
            <w:noProof/>
            <w:webHidden/>
          </w:rPr>
          <w:tab/>
        </w:r>
        <w:r w:rsidR="00094471">
          <w:rPr>
            <w:noProof/>
            <w:webHidden/>
          </w:rPr>
          <w:fldChar w:fldCharType="begin"/>
        </w:r>
        <w:r w:rsidR="00094471">
          <w:rPr>
            <w:noProof/>
            <w:webHidden/>
          </w:rPr>
          <w:instrText xml:space="preserve"> PAGEREF _Toc11105544 \h </w:instrText>
        </w:r>
        <w:r w:rsidR="00094471">
          <w:rPr>
            <w:noProof/>
            <w:webHidden/>
          </w:rPr>
        </w:r>
        <w:r w:rsidR="00094471">
          <w:rPr>
            <w:noProof/>
            <w:webHidden/>
          </w:rPr>
          <w:fldChar w:fldCharType="separate"/>
        </w:r>
        <w:r w:rsidR="00094471">
          <w:rPr>
            <w:noProof/>
            <w:webHidden/>
          </w:rPr>
          <w:t>11</w:t>
        </w:r>
        <w:r w:rsidR="00094471">
          <w:rPr>
            <w:noProof/>
            <w:webHidden/>
          </w:rPr>
          <w:fldChar w:fldCharType="end"/>
        </w:r>
      </w:hyperlink>
    </w:p>
    <w:p w14:paraId="44B9A831" w14:textId="6EDC42C8" w:rsidR="00094471" w:rsidRDefault="00AD4F28">
      <w:pPr>
        <w:pStyle w:val="TOC1"/>
        <w:rPr>
          <w:rFonts w:asciiTheme="minorHAnsi" w:eastAsiaTheme="minorEastAsia" w:hAnsiTheme="minorHAnsi" w:cstheme="minorBidi"/>
          <w:b w:val="0"/>
          <w:kern w:val="0"/>
          <w:sz w:val="24"/>
          <w:szCs w:val="24"/>
          <w:lang w:val="de-CH" w:bidi="ar-SA"/>
        </w:rPr>
      </w:pPr>
      <w:hyperlink w:anchor="_Toc11105545" w:history="1">
        <w:r w:rsidR="00094471" w:rsidRPr="00C87F9B">
          <w:rPr>
            <w:rStyle w:val="Hyperlink"/>
          </w:rPr>
          <w:t>D.  Claims of the Austrian Government in its Replies to the LOI</w:t>
        </w:r>
        <w:r w:rsidR="00094471">
          <w:rPr>
            <w:webHidden/>
          </w:rPr>
          <w:tab/>
        </w:r>
        <w:r w:rsidR="00094471">
          <w:rPr>
            <w:webHidden/>
          </w:rPr>
          <w:fldChar w:fldCharType="begin"/>
        </w:r>
        <w:r w:rsidR="00094471">
          <w:rPr>
            <w:webHidden/>
          </w:rPr>
          <w:instrText xml:space="preserve"> PAGEREF _Toc11105545 \h </w:instrText>
        </w:r>
        <w:r w:rsidR="00094471">
          <w:rPr>
            <w:webHidden/>
          </w:rPr>
        </w:r>
        <w:r w:rsidR="00094471">
          <w:rPr>
            <w:webHidden/>
          </w:rPr>
          <w:fldChar w:fldCharType="separate"/>
        </w:r>
        <w:r w:rsidR="00094471">
          <w:rPr>
            <w:webHidden/>
          </w:rPr>
          <w:t>12</w:t>
        </w:r>
        <w:r w:rsidR="00094471">
          <w:rPr>
            <w:webHidden/>
          </w:rPr>
          <w:fldChar w:fldCharType="end"/>
        </w:r>
      </w:hyperlink>
    </w:p>
    <w:p w14:paraId="21764315" w14:textId="7021B8C8" w:rsidR="00094471" w:rsidRDefault="00AD4F28">
      <w:pPr>
        <w:pStyle w:val="TOC2"/>
        <w:tabs>
          <w:tab w:val="right" w:leader="dot" w:pos="9628"/>
        </w:tabs>
        <w:rPr>
          <w:rFonts w:asciiTheme="minorHAnsi" w:eastAsiaTheme="minorEastAsia" w:hAnsiTheme="minorHAnsi" w:cstheme="minorBidi"/>
          <w:noProof/>
          <w:kern w:val="0"/>
          <w:szCs w:val="24"/>
          <w:lang w:bidi="ar-SA"/>
        </w:rPr>
      </w:pPr>
      <w:hyperlink w:anchor="_Toc11105546" w:history="1">
        <w:r w:rsidR="00094471" w:rsidRPr="00C87F9B">
          <w:rPr>
            <w:rStyle w:val="Hyperlink"/>
            <w:noProof/>
          </w:rPr>
          <w:t>1.  Claim “Civil Register Issues are a valid Answer to Harmful Practices”</w:t>
        </w:r>
        <w:r w:rsidR="00094471">
          <w:rPr>
            <w:noProof/>
            <w:webHidden/>
          </w:rPr>
          <w:tab/>
        </w:r>
        <w:r w:rsidR="00094471">
          <w:rPr>
            <w:noProof/>
            <w:webHidden/>
          </w:rPr>
          <w:fldChar w:fldCharType="begin"/>
        </w:r>
        <w:r w:rsidR="00094471">
          <w:rPr>
            <w:noProof/>
            <w:webHidden/>
          </w:rPr>
          <w:instrText xml:space="preserve"> PAGEREF _Toc11105546 \h </w:instrText>
        </w:r>
        <w:r w:rsidR="00094471">
          <w:rPr>
            <w:noProof/>
            <w:webHidden/>
          </w:rPr>
        </w:r>
        <w:r w:rsidR="00094471">
          <w:rPr>
            <w:noProof/>
            <w:webHidden/>
          </w:rPr>
          <w:fldChar w:fldCharType="separate"/>
        </w:r>
        <w:r w:rsidR="00094471">
          <w:rPr>
            <w:noProof/>
            <w:webHidden/>
          </w:rPr>
          <w:t>12</w:t>
        </w:r>
        <w:r w:rsidR="00094471">
          <w:rPr>
            <w:noProof/>
            <w:webHidden/>
          </w:rPr>
          <w:fldChar w:fldCharType="end"/>
        </w:r>
      </w:hyperlink>
    </w:p>
    <w:p w14:paraId="50F849F4" w14:textId="0AE1DF59" w:rsidR="00094471" w:rsidRDefault="00AD4F28">
      <w:pPr>
        <w:pStyle w:val="TOC2"/>
        <w:tabs>
          <w:tab w:val="right" w:leader="dot" w:pos="9628"/>
        </w:tabs>
        <w:rPr>
          <w:rFonts w:asciiTheme="minorHAnsi" w:eastAsiaTheme="minorEastAsia" w:hAnsiTheme="minorHAnsi" w:cstheme="minorBidi"/>
          <w:noProof/>
          <w:kern w:val="0"/>
          <w:szCs w:val="24"/>
          <w:lang w:bidi="ar-SA"/>
        </w:rPr>
      </w:pPr>
      <w:hyperlink w:anchor="_Toc11105547" w:history="1">
        <w:r w:rsidR="00094471" w:rsidRPr="00C87F9B">
          <w:rPr>
            <w:rStyle w:val="Hyperlink"/>
            <w:noProof/>
          </w:rPr>
          <w:t>2.  Claim “Constitutional Court did not comment on IGM Practices”</w:t>
        </w:r>
        <w:r w:rsidR="00094471">
          <w:rPr>
            <w:noProof/>
            <w:webHidden/>
          </w:rPr>
          <w:tab/>
        </w:r>
        <w:r w:rsidR="00094471">
          <w:rPr>
            <w:noProof/>
            <w:webHidden/>
          </w:rPr>
          <w:fldChar w:fldCharType="begin"/>
        </w:r>
        <w:r w:rsidR="00094471">
          <w:rPr>
            <w:noProof/>
            <w:webHidden/>
          </w:rPr>
          <w:instrText xml:space="preserve"> PAGEREF _Toc11105547 \h </w:instrText>
        </w:r>
        <w:r w:rsidR="00094471">
          <w:rPr>
            <w:noProof/>
            <w:webHidden/>
          </w:rPr>
        </w:r>
        <w:r w:rsidR="00094471">
          <w:rPr>
            <w:noProof/>
            <w:webHidden/>
          </w:rPr>
          <w:fldChar w:fldCharType="separate"/>
        </w:r>
        <w:r w:rsidR="00094471">
          <w:rPr>
            <w:noProof/>
            <w:webHidden/>
          </w:rPr>
          <w:t>12</w:t>
        </w:r>
        <w:r w:rsidR="00094471">
          <w:rPr>
            <w:noProof/>
            <w:webHidden/>
          </w:rPr>
          <w:fldChar w:fldCharType="end"/>
        </w:r>
      </w:hyperlink>
    </w:p>
    <w:p w14:paraId="603A00DD" w14:textId="2A27871D" w:rsidR="00094471" w:rsidRDefault="00AD4F28">
      <w:pPr>
        <w:pStyle w:val="TOC2"/>
        <w:tabs>
          <w:tab w:val="right" w:leader="dot" w:pos="9628"/>
        </w:tabs>
        <w:rPr>
          <w:rFonts w:asciiTheme="minorHAnsi" w:eastAsiaTheme="minorEastAsia" w:hAnsiTheme="minorHAnsi" w:cstheme="minorBidi"/>
          <w:noProof/>
          <w:kern w:val="0"/>
          <w:szCs w:val="24"/>
          <w:lang w:bidi="ar-SA"/>
        </w:rPr>
      </w:pPr>
      <w:hyperlink w:anchor="_Toc11105548" w:history="1">
        <w:r w:rsidR="00094471" w:rsidRPr="00C87F9B">
          <w:rPr>
            <w:rStyle w:val="Hyperlink"/>
            <w:noProof/>
          </w:rPr>
          <w:t xml:space="preserve">3.  </w:t>
        </w:r>
        <w:r w:rsidR="00094471" w:rsidRPr="00C87F9B">
          <w:rPr>
            <w:rStyle w:val="Hyperlink"/>
            <w:noProof/>
            <w:w w:val="97"/>
          </w:rPr>
          <w:t>Claim “In Absence of effective Consent, Intersex People can claim Compensation”</w:t>
        </w:r>
        <w:r w:rsidR="00094471">
          <w:rPr>
            <w:noProof/>
            <w:webHidden/>
          </w:rPr>
          <w:tab/>
        </w:r>
        <w:r w:rsidR="00094471">
          <w:rPr>
            <w:noProof/>
            <w:webHidden/>
          </w:rPr>
          <w:fldChar w:fldCharType="begin"/>
        </w:r>
        <w:r w:rsidR="00094471">
          <w:rPr>
            <w:noProof/>
            <w:webHidden/>
          </w:rPr>
          <w:instrText xml:space="preserve"> PAGEREF _Toc11105548 \h </w:instrText>
        </w:r>
        <w:r w:rsidR="00094471">
          <w:rPr>
            <w:noProof/>
            <w:webHidden/>
          </w:rPr>
        </w:r>
        <w:r w:rsidR="00094471">
          <w:rPr>
            <w:noProof/>
            <w:webHidden/>
          </w:rPr>
          <w:fldChar w:fldCharType="separate"/>
        </w:r>
        <w:r w:rsidR="00094471">
          <w:rPr>
            <w:noProof/>
            <w:webHidden/>
          </w:rPr>
          <w:t>13</w:t>
        </w:r>
        <w:r w:rsidR="00094471">
          <w:rPr>
            <w:noProof/>
            <w:webHidden/>
          </w:rPr>
          <w:fldChar w:fldCharType="end"/>
        </w:r>
      </w:hyperlink>
    </w:p>
    <w:p w14:paraId="2C3FF55A" w14:textId="416745F0" w:rsidR="00094471" w:rsidRDefault="00AD4F28">
      <w:pPr>
        <w:pStyle w:val="TOC2"/>
        <w:tabs>
          <w:tab w:val="right" w:leader="dot" w:pos="9628"/>
        </w:tabs>
        <w:rPr>
          <w:rFonts w:asciiTheme="minorHAnsi" w:eastAsiaTheme="minorEastAsia" w:hAnsiTheme="minorHAnsi" w:cstheme="minorBidi"/>
          <w:noProof/>
          <w:kern w:val="0"/>
          <w:szCs w:val="24"/>
          <w:lang w:bidi="ar-SA"/>
        </w:rPr>
      </w:pPr>
      <w:hyperlink w:anchor="_Toc11105549" w:history="1">
        <w:r w:rsidR="00094471" w:rsidRPr="00C87F9B">
          <w:rPr>
            <w:rStyle w:val="Hyperlink"/>
            <w:noProof/>
          </w:rPr>
          <w:t>4.  Claim “There are no statistical Data on IGM Practices”</w:t>
        </w:r>
        <w:r w:rsidR="00094471">
          <w:rPr>
            <w:noProof/>
            <w:webHidden/>
          </w:rPr>
          <w:tab/>
        </w:r>
        <w:r w:rsidR="00094471">
          <w:rPr>
            <w:noProof/>
            <w:webHidden/>
          </w:rPr>
          <w:fldChar w:fldCharType="begin"/>
        </w:r>
        <w:r w:rsidR="00094471">
          <w:rPr>
            <w:noProof/>
            <w:webHidden/>
          </w:rPr>
          <w:instrText xml:space="preserve"> PAGEREF _Toc11105549 \h </w:instrText>
        </w:r>
        <w:r w:rsidR="00094471">
          <w:rPr>
            <w:noProof/>
            <w:webHidden/>
          </w:rPr>
        </w:r>
        <w:r w:rsidR="00094471">
          <w:rPr>
            <w:noProof/>
            <w:webHidden/>
          </w:rPr>
          <w:fldChar w:fldCharType="separate"/>
        </w:r>
        <w:r w:rsidR="00094471">
          <w:rPr>
            <w:noProof/>
            <w:webHidden/>
          </w:rPr>
          <w:t>13</w:t>
        </w:r>
        <w:r w:rsidR="00094471">
          <w:rPr>
            <w:noProof/>
            <w:webHidden/>
          </w:rPr>
          <w:fldChar w:fldCharType="end"/>
        </w:r>
      </w:hyperlink>
    </w:p>
    <w:p w14:paraId="2CB45A15" w14:textId="7CE052E6" w:rsidR="00094471" w:rsidRPr="0093535A" w:rsidRDefault="00AD4F28">
      <w:pPr>
        <w:pStyle w:val="TOC1"/>
        <w:rPr>
          <w:rFonts w:asciiTheme="minorHAnsi" w:eastAsiaTheme="minorEastAsia" w:hAnsiTheme="minorHAnsi" w:cstheme="minorBidi"/>
          <w:b w:val="0"/>
          <w:kern w:val="0"/>
          <w:sz w:val="32"/>
          <w:szCs w:val="32"/>
          <w:lang w:val="de-CH" w:bidi="ar-SA"/>
        </w:rPr>
      </w:pPr>
      <w:hyperlink w:anchor="_Toc11105550" w:history="1">
        <w:r w:rsidR="00094471" w:rsidRPr="0093535A">
          <w:rPr>
            <w:rStyle w:val="Hyperlink"/>
            <w:sz w:val="32"/>
            <w:szCs w:val="32"/>
            <w:lang w:val="en-GB"/>
          </w:rPr>
          <w:t>Suggested Recommendations</w:t>
        </w:r>
        <w:r w:rsidR="00094471" w:rsidRPr="0093535A">
          <w:rPr>
            <w:webHidden/>
            <w:sz w:val="32"/>
            <w:szCs w:val="32"/>
          </w:rPr>
          <w:tab/>
        </w:r>
        <w:r w:rsidR="00094471" w:rsidRPr="0093535A">
          <w:rPr>
            <w:webHidden/>
            <w:sz w:val="32"/>
            <w:szCs w:val="32"/>
          </w:rPr>
          <w:fldChar w:fldCharType="begin"/>
        </w:r>
        <w:r w:rsidR="00094471" w:rsidRPr="0093535A">
          <w:rPr>
            <w:webHidden/>
            <w:sz w:val="32"/>
            <w:szCs w:val="32"/>
          </w:rPr>
          <w:instrText xml:space="preserve"> PAGEREF _Toc11105550 \h </w:instrText>
        </w:r>
        <w:r w:rsidR="00094471" w:rsidRPr="0093535A">
          <w:rPr>
            <w:webHidden/>
            <w:sz w:val="32"/>
            <w:szCs w:val="32"/>
          </w:rPr>
        </w:r>
        <w:r w:rsidR="00094471" w:rsidRPr="0093535A">
          <w:rPr>
            <w:webHidden/>
            <w:sz w:val="32"/>
            <w:szCs w:val="32"/>
          </w:rPr>
          <w:fldChar w:fldCharType="separate"/>
        </w:r>
        <w:r w:rsidR="00094471" w:rsidRPr="0093535A">
          <w:rPr>
            <w:webHidden/>
            <w:sz w:val="32"/>
            <w:szCs w:val="32"/>
          </w:rPr>
          <w:t>14</w:t>
        </w:r>
        <w:r w:rsidR="00094471" w:rsidRPr="0093535A">
          <w:rPr>
            <w:webHidden/>
            <w:sz w:val="32"/>
            <w:szCs w:val="32"/>
          </w:rPr>
          <w:fldChar w:fldCharType="end"/>
        </w:r>
      </w:hyperlink>
    </w:p>
    <w:p w14:paraId="1DF0B00C" w14:textId="7CC595ED" w:rsidR="00094471" w:rsidRDefault="00AD4F28">
      <w:pPr>
        <w:pStyle w:val="TOC1"/>
        <w:rPr>
          <w:rFonts w:asciiTheme="minorHAnsi" w:eastAsiaTheme="minorEastAsia" w:hAnsiTheme="minorHAnsi" w:cstheme="minorBidi"/>
          <w:b w:val="0"/>
          <w:kern w:val="0"/>
          <w:sz w:val="24"/>
          <w:szCs w:val="24"/>
          <w:lang w:val="de-CH" w:bidi="ar-SA"/>
        </w:rPr>
      </w:pPr>
      <w:hyperlink w:anchor="_Toc11105551" w:history="1">
        <w:r w:rsidR="00094471" w:rsidRPr="00C87F9B">
          <w:rPr>
            <w:rStyle w:val="Hyperlink"/>
          </w:rPr>
          <w:t>Annexe – “IGM in Medical Textbooks: Current Practice”</w:t>
        </w:r>
        <w:r w:rsidR="00094471">
          <w:rPr>
            <w:webHidden/>
          </w:rPr>
          <w:tab/>
        </w:r>
        <w:r w:rsidR="00094471">
          <w:rPr>
            <w:webHidden/>
          </w:rPr>
          <w:fldChar w:fldCharType="begin"/>
        </w:r>
        <w:r w:rsidR="00094471">
          <w:rPr>
            <w:webHidden/>
          </w:rPr>
          <w:instrText xml:space="preserve"> PAGEREF _Toc11105551 \h </w:instrText>
        </w:r>
        <w:r w:rsidR="00094471">
          <w:rPr>
            <w:webHidden/>
          </w:rPr>
        </w:r>
        <w:r w:rsidR="00094471">
          <w:rPr>
            <w:webHidden/>
          </w:rPr>
          <w:fldChar w:fldCharType="separate"/>
        </w:r>
        <w:r w:rsidR="00094471">
          <w:rPr>
            <w:webHidden/>
          </w:rPr>
          <w:t>15</w:t>
        </w:r>
        <w:r w:rsidR="00094471">
          <w:rPr>
            <w:webHidden/>
          </w:rPr>
          <w:fldChar w:fldCharType="end"/>
        </w:r>
      </w:hyperlink>
    </w:p>
    <w:p w14:paraId="359E7CB9" w14:textId="148CD70D" w:rsidR="00094471" w:rsidRDefault="00AD4F28">
      <w:pPr>
        <w:pStyle w:val="TOC3"/>
        <w:tabs>
          <w:tab w:val="right" w:leader="dot" w:pos="9628"/>
        </w:tabs>
        <w:rPr>
          <w:rFonts w:asciiTheme="minorHAnsi" w:eastAsiaTheme="minorEastAsia" w:hAnsiTheme="minorHAnsi" w:cstheme="minorBidi"/>
          <w:noProof/>
          <w:kern w:val="0"/>
          <w:szCs w:val="24"/>
          <w:lang w:bidi="ar-SA"/>
        </w:rPr>
      </w:pPr>
      <w:hyperlink w:anchor="_Toc11105552" w:history="1">
        <w:r w:rsidR="00094471" w:rsidRPr="00C87F9B">
          <w:rPr>
            <w:rStyle w:val="Hyperlink"/>
            <w:noProof/>
          </w:rPr>
          <w:t>IGM 1 – “Masculinising Surgery”: “Hypospadias Repair”</w:t>
        </w:r>
        <w:r w:rsidR="00094471">
          <w:rPr>
            <w:noProof/>
            <w:webHidden/>
          </w:rPr>
          <w:tab/>
        </w:r>
        <w:r w:rsidR="00094471">
          <w:rPr>
            <w:noProof/>
            <w:webHidden/>
          </w:rPr>
          <w:fldChar w:fldCharType="begin"/>
        </w:r>
        <w:r w:rsidR="00094471">
          <w:rPr>
            <w:noProof/>
            <w:webHidden/>
          </w:rPr>
          <w:instrText xml:space="preserve"> PAGEREF _Toc11105552 \h </w:instrText>
        </w:r>
        <w:r w:rsidR="00094471">
          <w:rPr>
            <w:noProof/>
            <w:webHidden/>
          </w:rPr>
        </w:r>
        <w:r w:rsidR="00094471">
          <w:rPr>
            <w:noProof/>
            <w:webHidden/>
          </w:rPr>
          <w:fldChar w:fldCharType="separate"/>
        </w:r>
        <w:r w:rsidR="00094471">
          <w:rPr>
            <w:noProof/>
            <w:webHidden/>
          </w:rPr>
          <w:t>15</w:t>
        </w:r>
        <w:r w:rsidR="00094471">
          <w:rPr>
            <w:noProof/>
            <w:webHidden/>
          </w:rPr>
          <w:fldChar w:fldCharType="end"/>
        </w:r>
      </w:hyperlink>
    </w:p>
    <w:p w14:paraId="1C23A02C" w14:textId="02B73DF9" w:rsidR="00094471" w:rsidRDefault="00AD4F28">
      <w:pPr>
        <w:pStyle w:val="TOC3"/>
        <w:tabs>
          <w:tab w:val="right" w:leader="dot" w:pos="9628"/>
        </w:tabs>
        <w:rPr>
          <w:rFonts w:asciiTheme="minorHAnsi" w:eastAsiaTheme="minorEastAsia" w:hAnsiTheme="minorHAnsi" w:cstheme="minorBidi"/>
          <w:noProof/>
          <w:kern w:val="0"/>
          <w:szCs w:val="24"/>
          <w:lang w:bidi="ar-SA"/>
        </w:rPr>
      </w:pPr>
      <w:hyperlink w:anchor="_Toc11105553" w:history="1">
        <w:r w:rsidR="00094471" w:rsidRPr="00C87F9B">
          <w:rPr>
            <w:rStyle w:val="Hyperlink"/>
            <w:noProof/>
          </w:rPr>
          <w:t>IGM 2 – “Feminising Surgery”: “Clitoral Reduction”, “Vaginoplasty”</w:t>
        </w:r>
        <w:r w:rsidR="00094471">
          <w:rPr>
            <w:noProof/>
            <w:webHidden/>
          </w:rPr>
          <w:tab/>
        </w:r>
        <w:r w:rsidR="00094471">
          <w:rPr>
            <w:noProof/>
            <w:webHidden/>
          </w:rPr>
          <w:fldChar w:fldCharType="begin"/>
        </w:r>
        <w:r w:rsidR="00094471">
          <w:rPr>
            <w:noProof/>
            <w:webHidden/>
          </w:rPr>
          <w:instrText xml:space="preserve"> PAGEREF _Toc11105553 \h </w:instrText>
        </w:r>
        <w:r w:rsidR="00094471">
          <w:rPr>
            <w:noProof/>
            <w:webHidden/>
          </w:rPr>
        </w:r>
        <w:r w:rsidR="00094471">
          <w:rPr>
            <w:noProof/>
            <w:webHidden/>
          </w:rPr>
          <w:fldChar w:fldCharType="separate"/>
        </w:r>
        <w:r w:rsidR="00094471">
          <w:rPr>
            <w:noProof/>
            <w:webHidden/>
          </w:rPr>
          <w:t>17</w:t>
        </w:r>
        <w:r w:rsidR="00094471">
          <w:rPr>
            <w:noProof/>
            <w:webHidden/>
          </w:rPr>
          <w:fldChar w:fldCharType="end"/>
        </w:r>
      </w:hyperlink>
    </w:p>
    <w:p w14:paraId="1DC47F18" w14:textId="77888C33" w:rsidR="00094471" w:rsidRDefault="00AD4F28">
      <w:pPr>
        <w:pStyle w:val="TOC3"/>
        <w:tabs>
          <w:tab w:val="right" w:leader="dot" w:pos="9628"/>
        </w:tabs>
        <w:rPr>
          <w:rFonts w:asciiTheme="minorHAnsi" w:eastAsiaTheme="minorEastAsia" w:hAnsiTheme="minorHAnsi" w:cstheme="minorBidi"/>
          <w:noProof/>
          <w:kern w:val="0"/>
          <w:szCs w:val="24"/>
          <w:lang w:bidi="ar-SA"/>
        </w:rPr>
      </w:pPr>
      <w:hyperlink w:anchor="_Toc11105554" w:history="1">
        <w:r w:rsidR="00094471" w:rsidRPr="00C87F9B">
          <w:rPr>
            <w:rStyle w:val="Hyperlink"/>
            <w:noProof/>
          </w:rPr>
          <w:t>IGM 3 – Sterilising Surgery: Castration / “Gonadectomy” / Hysterectomy</w:t>
        </w:r>
        <w:r w:rsidR="00094471">
          <w:rPr>
            <w:noProof/>
            <w:webHidden/>
          </w:rPr>
          <w:tab/>
        </w:r>
        <w:r w:rsidR="00094471">
          <w:rPr>
            <w:noProof/>
            <w:webHidden/>
          </w:rPr>
          <w:fldChar w:fldCharType="begin"/>
        </w:r>
        <w:r w:rsidR="00094471">
          <w:rPr>
            <w:noProof/>
            <w:webHidden/>
          </w:rPr>
          <w:instrText xml:space="preserve"> PAGEREF _Toc11105554 \h </w:instrText>
        </w:r>
        <w:r w:rsidR="00094471">
          <w:rPr>
            <w:noProof/>
            <w:webHidden/>
          </w:rPr>
        </w:r>
        <w:r w:rsidR="00094471">
          <w:rPr>
            <w:noProof/>
            <w:webHidden/>
          </w:rPr>
          <w:fldChar w:fldCharType="separate"/>
        </w:r>
        <w:r w:rsidR="00094471">
          <w:rPr>
            <w:noProof/>
            <w:webHidden/>
          </w:rPr>
          <w:t>19</w:t>
        </w:r>
        <w:r w:rsidR="00094471">
          <w:rPr>
            <w:noProof/>
            <w:webHidden/>
          </w:rPr>
          <w:fldChar w:fldCharType="end"/>
        </w:r>
      </w:hyperlink>
    </w:p>
    <w:p w14:paraId="164C7DA9" w14:textId="50F0E649" w:rsidR="00094471" w:rsidRDefault="00AD4F28">
      <w:pPr>
        <w:pStyle w:val="TOC2"/>
        <w:tabs>
          <w:tab w:val="right" w:leader="dot" w:pos="9628"/>
        </w:tabs>
        <w:rPr>
          <w:rFonts w:asciiTheme="minorHAnsi" w:eastAsiaTheme="minorEastAsia" w:hAnsiTheme="minorHAnsi" w:cstheme="minorBidi"/>
          <w:noProof/>
          <w:kern w:val="0"/>
          <w:szCs w:val="24"/>
          <w:lang w:bidi="ar-SA"/>
        </w:rPr>
      </w:pPr>
      <w:hyperlink w:anchor="_Toc11105555" w:history="1">
        <w:r w:rsidR="00094471">
          <w:rPr>
            <w:rStyle w:val="Hyperlink"/>
            <w:noProof/>
          </w:rPr>
          <w:t xml:space="preserve">    </w:t>
        </w:r>
        <w:r w:rsidR="00094471" w:rsidRPr="00094471">
          <w:rPr>
            <w:rStyle w:val="Hyperlink"/>
            <w:noProof/>
          </w:rPr>
          <w:t>“</w:t>
        </w:r>
        <w:r w:rsidR="00094471" w:rsidRPr="00C87F9B">
          <w:rPr>
            <w:rStyle w:val="Hyperlink"/>
            <w:noProof/>
          </w:rPr>
          <w:t>Bad results” / “Gonade</w:t>
        </w:r>
        <w:r w:rsidR="00094471">
          <w:rPr>
            <w:rStyle w:val="Hyperlink"/>
            <w:noProof/>
          </w:rPr>
          <w:t>ctomy, Feminizing Genitoplasty”</w:t>
        </w:r>
        <w:r w:rsidR="00094471">
          <w:rPr>
            <w:noProof/>
            <w:webHidden/>
          </w:rPr>
          <w:tab/>
        </w:r>
        <w:r w:rsidR="00094471">
          <w:rPr>
            <w:noProof/>
            <w:webHidden/>
          </w:rPr>
          <w:fldChar w:fldCharType="begin"/>
        </w:r>
        <w:r w:rsidR="00094471">
          <w:rPr>
            <w:noProof/>
            <w:webHidden/>
          </w:rPr>
          <w:instrText xml:space="preserve"> PAGEREF _Toc11105555 \h </w:instrText>
        </w:r>
        <w:r w:rsidR="00094471">
          <w:rPr>
            <w:noProof/>
            <w:webHidden/>
          </w:rPr>
        </w:r>
        <w:r w:rsidR="00094471">
          <w:rPr>
            <w:noProof/>
            <w:webHidden/>
          </w:rPr>
          <w:fldChar w:fldCharType="separate"/>
        </w:r>
        <w:r w:rsidR="00094471">
          <w:rPr>
            <w:noProof/>
            <w:webHidden/>
          </w:rPr>
          <w:t>21</w:t>
        </w:r>
        <w:r w:rsidR="00094471">
          <w:rPr>
            <w:noProof/>
            <w:webHidden/>
          </w:rPr>
          <w:fldChar w:fldCharType="end"/>
        </w:r>
      </w:hyperlink>
    </w:p>
    <w:p w14:paraId="587696A8" w14:textId="5F48E5D3" w:rsidR="004375E4" w:rsidRDefault="007665F2" w:rsidP="00CE680A">
      <w:pPr>
        <w:pStyle w:val="absatzschattenbericht"/>
      </w:pPr>
      <w:r>
        <w:fldChar w:fldCharType="end"/>
      </w:r>
      <w:bookmarkStart w:id="9" w:name="Executive_Summary"/>
      <w:bookmarkStart w:id="10" w:name="_Toc453620701"/>
      <w:bookmarkStart w:id="11" w:name="_Toc463295397"/>
      <w:bookmarkStart w:id="12" w:name="_Toc472718947"/>
    </w:p>
    <w:p w14:paraId="22687742" w14:textId="77777777" w:rsidR="004375E4" w:rsidRDefault="004375E4">
      <w:pPr>
        <w:widowControl/>
        <w:suppressAutoHyphens w:val="0"/>
        <w:textAlignment w:val="auto"/>
        <w:rPr>
          <w:rFonts w:eastAsia="Baskerville" w:cs="Baskerville"/>
          <w:color w:val="000000"/>
          <w:spacing w:val="2"/>
          <w:lang w:val="en-GB"/>
        </w:rPr>
      </w:pPr>
      <w:r>
        <w:br w:type="page"/>
      </w:r>
    </w:p>
    <w:p w14:paraId="13B36D91" w14:textId="513C910E" w:rsidR="0018009D" w:rsidRPr="008521EA" w:rsidRDefault="00C372F6" w:rsidP="0018009D">
      <w:pPr>
        <w:pStyle w:val="Title1"/>
        <w:rPr>
          <w:rFonts w:eastAsia="Baskerville" w:cs="Times New Roman"/>
          <w:spacing w:val="2"/>
          <w:lang w:val="en-GB"/>
        </w:rPr>
      </w:pPr>
      <w:bookmarkStart w:id="13" w:name="_Toc11105530"/>
      <w:bookmarkStart w:id="14" w:name="_Toc472687686"/>
      <w:bookmarkStart w:id="15" w:name="_Toc485093567"/>
      <w:bookmarkStart w:id="16" w:name="_Toc507726462"/>
      <w:bookmarkStart w:id="17" w:name="_Toc453620706"/>
      <w:bookmarkStart w:id="18" w:name="_Toc463295402"/>
      <w:bookmarkStart w:id="19" w:name="_Toc472718952"/>
      <w:bookmarkEnd w:id="4"/>
      <w:bookmarkEnd w:id="5"/>
      <w:bookmarkEnd w:id="6"/>
      <w:bookmarkEnd w:id="7"/>
      <w:bookmarkEnd w:id="9"/>
      <w:bookmarkEnd w:id="10"/>
      <w:bookmarkEnd w:id="11"/>
      <w:bookmarkEnd w:id="12"/>
      <w:r>
        <w:rPr>
          <w:lang w:val="en-GB"/>
        </w:rPr>
        <w:lastRenderedPageBreak/>
        <w:t xml:space="preserve">A.  </w:t>
      </w:r>
      <w:r w:rsidR="0018009D" w:rsidRPr="008521EA">
        <w:rPr>
          <w:lang w:val="en-GB"/>
        </w:rPr>
        <w:t>Introduction</w:t>
      </w:r>
      <w:bookmarkEnd w:id="13"/>
    </w:p>
    <w:p w14:paraId="657F05F3" w14:textId="024D0BCD" w:rsidR="0018009D" w:rsidRPr="0093535A" w:rsidRDefault="0018009D" w:rsidP="0093535A">
      <w:pPr>
        <w:pStyle w:val="Title2"/>
        <w:rPr>
          <w:rFonts w:eastAsia="Baskerville"/>
          <w:szCs w:val="24"/>
        </w:rPr>
      </w:pPr>
      <w:bookmarkStart w:id="20" w:name="_Toc453620703"/>
      <w:bookmarkStart w:id="21" w:name="_Toc463295399"/>
      <w:bookmarkStart w:id="22" w:name="_Toc472718949"/>
      <w:bookmarkStart w:id="23" w:name="_Toc11105531"/>
      <w:r w:rsidRPr="0093535A">
        <w:t xml:space="preserve">1.  </w:t>
      </w:r>
      <w:bookmarkEnd w:id="20"/>
      <w:bookmarkEnd w:id="21"/>
      <w:bookmarkEnd w:id="22"/>
      <w:r w:rsidR="00A76782" w:rsidRPr="0093535A">
        <w:t xml:space="preserve">Update: </w:t>
      </w:r>
      <w:r w:rsidRPr="0093535A">
        <w:t xml:space="preserve">Intersex, IGM and Human Rights in </w:t>
      </w:r>
      <w:r w:rsidR="00706D78" w:rsidRPr="0093535A">
        <w:t>Austria</w:t>
      </w:r>
      <w:bookmarkEnd w:id="23"/>
    </w:p>
    <w:p w14:paraId="5E164E4F" w14:textId="024F466F" w:rsidR="00DC7CFF" w:rsidRDefault="00DC7CFF" w:rsidP="00CE680A">
      <w:pPr>
        <w:pStyle w:val="absatzschattenbericht"/>
      </w:pPr>
      <w:r>
        <w:t>As directly and indirectly confirmed by the State party’s reply to the List of Issues (paras 67-69)</w:t>
      </w:r>
      <w:r w:rsidR="00E64E50">
        <w:t xml:space="preserve"> and further demonstrated in this NGO report</w:t>
      </w:r>
      <w:r w:rsidR="00A76782">
        <w:t xml:space="preserve">, </w:t>
      </w:r>
      <w:r w:rsidR="00A76782" w:rsidRPr="00A93D73">
        <w:rPr>
          <w:b/>
          <w:bCs/>
        </w:rPr>
        <w:t>the situation in Austria hasn’t changed:</w:t>
      </w:r>
      <w:r w:rsidR="00A76782">
        <w:t xml:space="preserve"> IGM practices still continue with impunity, intersex children still have no legal protections from harmful practices, and the Government still refuses to</w:t>
      </w:r>
      <w:r w:rsidR="00E64E50">
        <w:t xml:space="preserve"> disclose available data on IGM, despite the previous 2015 CAT recommendations recognising IGM in Austria as inhuman treatment.</w:t>
      </w:r>
    </w:p>
    <w:p w14:paraId="54045D83" w14:textId="77777777" w:rsidR="00974053" w:rsidRPr="00E64E50" w:rsidRDefault="00974053" w:rsidP="00CE680A">
      <w:pPr>
        <w:pStyle w:val="absatzschattenbericht"/>
      </w:pPr>
      <w:bookmarkStart w:id="24" w:name="_Toc453620704"/>
      <w:bookmarkStart w:id="25" w:name="_Toc463295400"/>
      <w:bookmarkStart w:id="26" w:name="_Toc472718950"/>
    </w:p>
    <w:p w14:paraId="038B5740" w14:textId="77777777" w:rsidR="0018009D" w:rsidRPr="0093535A" w:rsidRDefault="0018009D" w:rsidP="0093535A">
      <w:pPr>
        <w:pStyle w:val="Title2"/>
        <w:rPr>
          <w:rFonts w:eastAsia="Baskerville-SemiBold"/>
          <w:szCs w:val="24"/>
        </w:rPr>
      </w:pPr>
      <w:bookmarkStart w:id="27" w:name="_Toc11105532"/>
      <w:r w:rsidRPr="0093535A">
        <w:t>2.  About the Rapporteurs</w:t>
      </w:r>
      <w:bookmarkEnd w:id="24"/>
      <w:bookmarkEnd w:id="25"/>
      <w:bookmarkEnd w:id="26"/>
      <w:bookmarkEnd w:id="27"/>
    </w:p>
    <w:p w14:paraId="139ED41F" w14:textId="77777777" w:rsidR="0018009D" w:rsidRPr="008521EA" w:rsidRDefault="0018009D" w:rsidP="00CE680A">
      <w:pPr>
        <w:pStyle w:val="absatzschattenbericht"/>
        <w:rPr>
          <w:i/>
        </w:rPr>
      </w:pPr>
      <w:r w:rsidRPr="008521EA">
        <w:rPr>
          <w:rFonts w:eastAsia="Baskerville-SemiBold"/>
        </w:rPr>
        <w:t xml:space="preserve">This NGO report </w:t>
      </w:r>
      <w:r w:rsidRPr="008521EA">
        <w:t xml:space="preserve">has been prepared by the international intersex NGO </w:t>
      </w:r>
      <w:r w:rsidRPr="008521EA">
        <w:rPr>
          <w:rFonts w:eastAsia="Baskerville-Italic"/>
          <w:i/>
          <w:iCs/>
        </w:rPr>
        <w:t>StopIGM.org / Zwischengeschlecht.org</w:t>
      </w:r>
      <w:r w:rsidRPr="008521EA">
        <w:t>:</w:t>
      </w:r>
    </w:p>
    <w:p w14:paraId="41AAB8F4" w14:textId="77777777" w:rsidR="00442D12" w:rsidRDefault="0018009D" w:rsidP="00CE680A">
      <w:pPr>
        <w:pStyle w:val="absatzschattenbericht"/>
        <w:numPr>
          <w:ilvl w:val="0"/>
          <w:numId w:val="18"/>
        </w:numPr>
      </w:pPr>
      <w:r w:rsidRPr="008521EA">
        <w:rPr>
          <w:rFonts w:eastAsia="Baskerville-SemiBold"/>
          <w:b/>
          <w:bCs/>
        </w:rPr>
        <w:t>StopIGM.org / Zwischengeschlecht.org</w:t>
      </w:r>
      <w:r w:rsidRPr="008521EA">
        <w:t xml:space="preserve"> is an internat</w:t>
      </w:r>
      <w:r w:rsidR="005D07D9">
        <w:t xml:space="preserve">ional intersex human rights NGO </w:t>
      </w:r>
      <w:r w:rsidRPr="008521EA">
        <w:t xml:space="preserve">based in Switzerland, working to end IGM practices and other human rights violations perpetrated on intersex people, according to its motto, </w:t>
      </w:r>
      <w:r w:rsidRPr="008521EA">
        <w:rPr>
          <w:rFonts w:eastAsia="Baskerville-Italic"/>
          <w:i/>
          <w:iCs/>
        </w:rPr>
        <w:t>“Human Rights for Hermaphrodites, too!”</w:t>
      </w:r>
      <w:r w:rsidRPr="008521EA">
        <w:rPr>
          <w:position w:val="6"/>
        </w:rPr>
        <w:t xml:space="preserve"> </w:t>
      </w:r>
      <w:r w:rsidRPr="008521EA">
        <w:rPr>
          <w:rStyle w:val="Funotenzeichen1"/>
        </w:rPr>
        <w:footnoteReference w:id="1"/>
      </w:r>
      <w:r w:rsidRPr="008521EA">
        <w:t xml:space="preserve"> According to its charter,</w:t>
      </w:r>
      <w:r w:rsidRPr="008521EA">
        <w:rPr>
          <w:rStyle w:val="Funotenzeichen1"/>
        </w:rPr>
        <w:footnoteReference w:id="2"/>
      </w:r>
      <w:r w:rsidRPr="008521EA">
        <w:t xml:space="preserve"> StopIGM.org works to support persons concerned seeking redress and justice and regularly reports to </w:t>
      </w:r>
      <w:r w:rsidR="004375E4">
        <w:t xml:space="preserve">relevant </w:t>
      </w:r>
      <w:r w:rsidRPr="008521EA">
        <w:t>UN treaty bodies</w:t>
      </w:r>
      <w:r>
        <w:t xml:space="preserve">, </w:t>
      </w:r>
      <w:r w:rsidR="007874DB" w:rsidRPr="00F91421">
        <w:rPr>
          <w:rFonts w:cs="Times New Roman"/>
        </w:rPr>
        <w:t>often in collaboration with local intersex persons and organisations</w:t>
      </w:r>
      <w:r w:rsidR="007874DB">
        <w:rPr>
          <w:rFonts w:cs="Times New Roman"/>
        </w:rPr>
        <w:t>,</w:t>
      </w:r>
      <w:r w:rsidR="007874DB">
        <w:rPr>
          <w:rStyle w:val="FootnoteReference"/>
          <w:rFonts w:cs="Times New Roman"/>
        </w:rPr>
        <w:footnoteReference w:id="3"/>
      </w:r>
      <w:r w:rsidR="007874DB">
        <w:rPr>
          <w:rFonts w:cs="Times New Roman"/>
        </w:rPr>
        <w:t xml:space="preserve"> substantially contributing to the so far </w:t>
      </w:r>
      <w:r w:rsidR="00DC7CFF">
        <w:rPr>
          <w:rFonts w:cs="Times New Roman"/>
        </w:rPr>
        <w:t>42</w:t>
      </w:r>
      <w:r w:rsidR="007874DB">
        <w:rPr>
          <w:rFonts w:cs="Times New Roman"/>
        </w:rPr>
        <w:t xml:space="preserve"> Treaty body Concluding Observations recognising IGM as a serious human </w:t>
      </w:r>
      <w:r w:rsidR="007874DB">
        <w:rPr>
          <w:rFonts w:cs="Times New Roman"/>
        </w:rPr>
        <w:lastRenderedPageBreak/>
        <w:t>rights violation.</w:t>
      </w:r>
      <w:r w:rsidR="007874DB">
        <w:rPr>
          <w:rStyle w:val="FootnoteReference"/>
          <w:rFonts w:cs="Times New Roman"/>
        </w:rPr>
        <w:footnoteReference w:id="4"/>
      </w:r>
    </w:p>
    <w:p w14:paraId="5A54099B" w14:textId="4D864421" w:rsidR="0018009D" w:rsidRDefault="0018009D" w:rsidP="00442D12">
      <w:pPr>
        <w:pStyle w:val="absatzschattenbericht"/>
        <w:ind w:left="720"/>
      </w:pPr>
      <w:r w:rsidRPr="00442D12">
        <w:rPr>
          <w:b/>
        </w:rPr>
        <w:t xml:space="preserve">StopIGM.org has </w:t>
      </w:r>
      <w:r w:rsidR="005D07D9" w:rsidRPr="00442D12">
        <w:rPr>
          <w:b/>
        </w:rPr>
        <w:t xml:space="preserve">been </w:t>
      </w:r>
      <w:r w:rsidRPr="00442D12">
        <w:rPr>
          <w:b/>
        </w:rPr>
        <w:t xml:space="preserve">active in </w:t>
      </w:r>
      <w:r w:rsidR="005D07D9" w:rsidRPr="00442D12">
        <w:rPr>
          <w:b/>
        </w:rPr>
        <w:t xml:space="preserve">Austria </w:t>
      </w:r>
      <w:r w:rsidRPr="00442D12">
        <w:rPr>
          <w:b/>
        </w:rPr>
        <w:t xml:space="preserve">since </w:t>
      </w:r>
      <w:r w:rsidR="005D07D9" w:rsidRPr="00442D12">
        <w:rPr>
          <w:b/>
        </w:rPr>
        <w:t>2011</w:t>
      </w:r>
      <w:r w:rsidRPr="00442D12">
        <w:rPr>
          <w:b/>
        </w:rPr>
        <w:t>,</w:t>
      </w:r>
      <w:r w:rsidRPr="00094420">
        <w:t xml:space="preserve"> </w:t>
      </w:r>
      <w:r w:rsidR="00C7322C" w:rsidRPr="00094420">
        <w:t>documenting the ongoing practice, publicly confronting individual perpetrators and hospita</w:t>
      </w:r>
      <w:r w:rsidR="00C7322C">
        <w:t xml:space="preserve">ls, </w:t>
      </w:r>
      <w:r w:rsidR="007149A2">
        <w:t>has been consulted by the CRC NHRI Child and Youth Advocates Austria (KIJOE)</w:t>
      </w:r>
      <w:r w:rsidR="00F3532B">
        <w:t>,</w:t>
      </w:r>
      <w:r w:rsidR="007149A2">
        <w:t xml:space="preserve"> </w:t>
      </w:r>
      <w:r w:rsidRPr="00094420">
        <w:t xml:space="preserve">supporting </w:t>
      </w:r>
      <w:r w:rsidR="00C7322C">
        <w:t>IGM survivors to testify at the UN</w:t>
      </w:r>
      <w:r w:rsidRPr="00094420">
        <w:t xml:space="preserve">, and has previously reported on IGM in </w:t>
      </w:r>
      <w:r w:rsidR="00C7322C">
        <w:t>Austria</w:t>
      </w:r>
      <w:r w:rsidRPr="00094420">
        <w:t xml:space="preserve"> to </w:t>
      </w:r>
      <w:r w:rsidR="007149A2">
        <w:t xml:space="preserve">CAT in 2015 </w:t>
      </w:r>
      <w:r w:rsidR="007874DB">
        <w:t xml:space="preserve">(in collaboration with Verein Intergeschlechtlicher Menschen Österreich VIMÖ) </w:t>
      </w:r>
      <w:r w:rsidR="007149A2">
        <w:t xml:space="preserve">and </w:t>
      </w:r>
      <w:r w:rsidR="007874DB">
        <w:t xml:space="preserve">in </w:t>
      </w:r>
      <w:r w:rsidR="007149A2">
        <w:t>2017</w:t>
      </w:r>
      <w:r w:rsidR="004375E4">
        <w:t xml:space="preserve">, and to CRPD </w:t>
      </w:r>
      <w:r w:rsidR="00DC7CFF">
        <w:t xml:space="preserve">and CEDAW </w:t>
      </w:r>
      <w:r w:rsidR="004375E4">
        <w:t>in 2018</w:t>
      </w:r>
      <w:r w:rsidR="007149A2">
        <w:t>.</w:t>
      </w:r>
    </w:p>
    <w:p w14:paraId="698FA267" w14:textId="77777777" w:rsidR="00675C3D" w:rsidRPr="00E64E50" w:rsidRDefault="00675C3D" w:rsidP="00CE680A">
      <w:pPr>
        <w:pStyle w:val="absatzschattenbericht"/>
      </w:pPr>
      <w:bookmarkStart w:id="28" w:name="_Toc453620705"/>
      <w:bookmarkStart w:id="29" w:name="_Toc463295401"/>
      <w:bookmarkStart w:id="30" w:name="_Toc472718951"/>
    </w:p>
    <w:p w14:paraId="0215FDD7" w14:textId="77777777" w:rsidR="0018009D" w:rsidRPr="008521EA" w:rsidRDefault="0018009D" w:rsidP="0093535A">
      <w:pPr>
        <w:pStyle w:val="Title2"/>
        <w:rPr>
          <w:rFonts w:eastAsia="Baskerville"/>
          <w:szCs w:val="24"/>
        </w:rPr>
      </w:pPr>
      <w:bookmarkStart w:id="31" w:name="_Toc11105533"/>
      <w:r w:rsidRPr="008521EA">
        <w:t>3.  Methodology</w:t>
      </w:r>
      <w:bookmarkEnd w:id="28"/>
      <w:bookmarkEnd w:id="29"/>
      <w:bookmarkEnd w:id="30"/>
      <w:bookmarkEnd w:id="31"/>
    </w:p>
    <w:p w14:paraId="20B7CF30" w14:textId="6B5D8DD0" w:rsidR="0018009D" w:rsidRPr="00B726C5" w:rsidRDefault="0018009D" w:rsidP="00CE680A">
      <w:pPr>
        <w:pStyle w:val="absatzschattenbericht"/>
      </w:pPr>
      <w:r w:rsidRPr="00B726C5">
        <w:t>This thematic NGO report is an update to the</w:t>
      </w:r>
      <w:r w:rsidR="00E64E50" w:rsidRPr="00B726C5">
        <w:t xml:space="preserve"> </w:t>
      </w:r>
      <w:r w:rsidR="00E64E50" w:rsidRPr="00B726C5">
        <w:rPr>
          <w:b/>
          <w:bCs/>
        </w:rPr>
        <w:t>2018 CEDAW Austria PSWG NGO Report</w:t>
      </w:r>
      <w:r w:rsidR="00E64E50" w:rsidRPr="00B726C5">
        <w:rPr>
          <w:rStyle w:val="FootnoteReference"/>
        </w:rPr>
        <w:footnoteReference w:id="5"/>
      </w:r>
      <w:r w:rsidR="00B726C5" w:rsidRPr="00B726C5">
        <w:t xml:space="preserve"> by the same Rapporteurs, which was in part based on the</w:t>
      </w:r>
      <w:r w:rsidRPr="00B726C5">
        <w:t xml:space="preserve"> </w:t>
      </w:r>
      <w:r w:rsidRPr="00B726C5">
        <w:rPr>
          <w:b/>
        </w:rPr>
        <w:t xml:space="preserve">2015 </w:t>
      </w:r>
      <w:r w:rsidR="00F3532B" w:rsidRPr="00B726C5">
        <w:rPr>
          <w:b/>
        </w:rPr>
        <w:t>CAT</w:t>
      </w:r>
      <w:r w:rsidRPr="00B726C5">
        <w:rPr>
          <w:b/>
        </w:rPr>
        <w:t xml:space="preserve"> </w:t>
      </w:r>
      <w:r w:rsidR="00F3532B" w:rsidRPr="00B726C5">
        <w:rPr>
          <w:b/>
        </w:rPr>
        <w:t>Austria</w:t>
      </w:r>
      <w:r w:rsidRPr="00B726C5">
        <w:rPr>
          <w:b/>
        </w:rPr>
        <w:t xml:space="preserve"> NGO Report</w:t>
      </w:r>
      <w:r w:rsidRPr="00B726C5">
        <w:rPr>
          <w:rStyle w:val="FootnoteReference"/>
          <w:rFonts w:cs="Times New Roman"/>
          <w:b/>
        </w:rPr>
        <w:footnoteReference w:id="6"/>
      </w:r>
      <w:r w:rsidRPr="00B726C5">
        <w:rPr>
          <w:b/>
        </w:rPr>
        <w:t xml:space="preserve"> </w:t>
      </w:r>
      <w:r w:rsidR="00B726C5" w:rsidRPr="00B726C5">
        <w:t>in collaboration with Verein Intergeschlechtlicher Menschen Österreich VIMÖ</w:t>
      </w:r>
      <w:r w:rsidRPr="00B726C5">
        <w:t>.</w:t>
      </w:r>
    </w:p>
    <w:p w14:paraId="08C8E6DF" w14:textId="77777777" w:rsidR="004E1DF1" w:rsidRPr="004C5447" w:rsidRDefault="004E1DF1" w:rsidP="004E1DF1">
      <w:pPr>
        <w:pStyle w:val="Title1"/>
        <w:rPr>
          <w:iCs w:val="0"/>
          <w:lang w:val="en-US"/>
        </w:rPr>
      </w:pPr>
      <w:bookmarkStart w:id="32" w:name="_Toc536504881"/>
      <w:bookmarkStart w:id="33" w:name="_Toc11105534"/>
      <w:bookmarkStart w:id="34" w:name="_Toc532733088"/>
      <w:bookmarkStart w:id="35" w:name="_Toc532779636"/>
      <w:bookmarkStart w:id="36" w:name="_Toc475924594"/>
      <w:bookmarkStart w:id="37" w:name="_Toc475924771"/>
      <w:bookmarkStart w:id="38" w:name="_Toc475924923"/>
      <w:r w:rsidRPr="004C5447">
        <w:rPr>
          <w:iCs w:val="0"/>
          <w:lang w:val="en-US"/>
        </w:rPr>
        <w:lastRenderedPageBreak/>
        <w:t>B.  Precedents</w:t>
      </w:r>
      <w:bookmarkEnd w:id="32"/>
      <w:bookmarkEnd w:id="33"/>
      <w:r w:rsidRPr="004C5447">
        <w:rPr>
          <w:iCs w:val="0"/>
          <w:lang w:val="en-US"/>
        </w:rPr>
        <w:t xml:space="preserve"> </w:t>
      </w:r>
    </w:p>
    <w:p w14:paraId="1E4DA838" w14:textId="77777777" w:rsidR="004E1DF1" w:rsidRDefault="004E1DF1" w:rsidP="0093535A">
      <w:pPr>
        <w:pStyle w:val="Title2"/>
      </w:pPr>
    </w:p>
    <w:p w14:paraId="58405389" w14:textId="78ABEE16" w:rsidR="00FE42BA" w:rsidRPr="00E714A1" w:rsidRDefault="00FE42BA" w:rsidP="0093535A">
      <w:pPr>
        <w:pStyle w:val="Title2"/>
        <w:rPr>
          <w:rFonts w:eastAsia="Baskerville-SemiBold" w:cs="Baskerville-SemiBold"/>
          <w:color w:val="auto"/>
        </w:rPr>
      </w:pPr>
      <w:bookmarkStart w:id="39" w:name="_Toc536455153"/>
      <w:bookmarkStart w:id="40" w:name="_Toc11105535"/>
      <w:bookmarkEnd w:id="34"/>
      <w:bookmarkEnd w:id="35"/>
      <w:r w:rsidRPr="00E714A1">
        <w:t xml:space="preserve">1.  </w:t>
      </w:r>
      <w:r>
        <w:t>2016</w:t>
      </w:r>
      <w:r w:rsidRPr="00E714A1">
        <w:t xml:space="preserve"> </w:t>
      </w:r>
      <w:r w:rsidR="005358EB">
        <w:t xml:space="preserve">CAT </w:t>
      </w:r>
      <w:r w:rsidRPr="00E714A1">
        <w:t>Concluding Observations on Intersex (</w:t>
      </w:r>
      <w:r>
        <w:rPr>
          <w:lang w:val="en-US"/>
        </w:rPr>
        <w:t>CAT/C/AUT/CO/6</w:t>
      </w:r>
      <w:r w:rsidRPr="00FE42BA">
        <w:rPr>
          <w:lang w:val="en-US"/>
        </w:rPr>
        <w:t>, paras 44–45</w:t>
      </w:r>
      <w:r w:rsidRPr="00E714A1">
        <w:rPr>
          <w:lang w:val="en-US"/>
        </w:rPr>
        <w:t>)</w:t>
      </w:r>
      <w:bookmarkEnd w:id="39"/>
      <w:bookmarkEnd w:id="40"/>
    </w:p>
    <w:p w14:paraId="0583D701" w14:textId="77777777" w:rsidR="00021640" w:rsidRPr="009B7236" w:rsidRDefault="00021640" w:rsidP="00CE680A">
      <w:pPr>
        <w:pStyle w:val="absatzschattenbericht"/>
      </w:pPr>
    </w:p>
    <w:p w14:paraId="638081ED" w14:textId="77777777" w:rsidR="004E1DF1" w:rsidRPr="002B0373" w:rsidRDefault="004E1DF1" w:rsidP="00CE680A">
      <w:pPr>
        <w:pStyle w:val="absatzschattenbericht"/>
        <w:rPr>
          <w:b/>
          <w:i/>
        </w:rPr>
      </w:pPr>
      <w:r w:rsidRPr="002B0373">
        <w:rPr>
          <w:b/>
          <w:bCs/>
          <w:i/>
        </w:rPr>
        <w:t>Intersex</w:t>
      </w:r>
      <w:r w:rsidRPr="002B0373">
        <w:rPr>
          <w:b/>
          <w:i/>
        </w:rPr>
        <w:t xml:space="preserve"> persons</w:t>
      </w:r>
    </w:p>
    <w:p w14:paraId="54054F2B" w14:textId="77777777" w:rsidR="004E1DF1" w:rsidRPr="002B0373" w:rsidRDefault="004E1DF1" w:rsidP="00CE680A">
      <w:pPr>
        <w:pStyle w:val="absatzschattenbericht"/>
        <w:rPr>
          <w:i/>
        </w:rPr>
      </w:pPr>
      <w:r w:rsidRPr="002B0373">
        <w:rPr>
          <w:i/>
        </w:rPr>
        <w:t>44.</w:t>
      </w:r>
      <w:r w:rsidRPr="002B0373">
        <w:rPr>
          <w:i/>
        </w:rPr>
        <w:tab/>
        <w:t>The Committee appreciates the assurances provided by the delegation that surgical interventions on intersex children are carried out only when necessary, following medical and psychological opinions. It remains concerned, however, about reports of cases of unnecessary surgery and other medical treatment with lifelong consequences to which intersex children have been subjected without their informed consent. The Committee is further concerned at the lack of legal provisions providing redress and rehabilitation in such cases (arts. 14 and 16).</w:t>
      </w:r>
    </w:p>
    <w:p w14:paraId="6ABAF7F0" w14:textId="77777777" w:rsidR="004E1DF1" w:rsidRPr="002B0373" w:rsidRDefault="004E1DF1" w:rsidP="00CE680A">
      <w:pPr>
        <w:pStyle w:val="absatzschattenbericht"/>
        <w:rPr>
          <w:b/>
          <w:bCs/>
          <w:i/>
        </w:rPr>
      </w:pPr>
      <w:r w:rsidRPr="002B0373">
        <w:rPr>
          <w:b/>
          <w:bCs/>
          <w:i/>
        </w:rPr>
        <w:t>45.</w:t>
      </w:r>
      <w:r w:rsidRPr="002B0373">
        <w:rPr>
          <w:b/>
          <w:bCs/>
          <w:i/>
        </w:rPr>
        <w:tab/>
      </w:r>
      <w:r w:rsidRPr="002B0373">
        <w:rPr>
          <w:b/>
          <w:i/>
        </w:rPr>
        <w:t>The State party should:</w:t>
      </w:r>
    </w:p>
    <w:p w14:paraId="21C6B1CB" w14:textId="77777777" w:rsidR="004E1DF1" w:rsidRPr="002B0373" w:rsidRDefault="004E1DF1" w:rsidP="00CE680A">
      <w:pPr>
        <w:pStyle w:val="absatzschattenbericht"/>
        <w:rPr>
          <w:b/>
          <w:bCs/>
          <w:i/>
        </w:rPr>
      </w:pPr>
      <w:r w:rsidRPr="002B0373">
        <w:rPr>
          <w:b/>
          <w:bCs/>
          <w:i/>
        </w:rPr>
        <w:tab/>
        <w:t>(a)</w:t>
      </w:r>
      <w:r w:rsidRPr="002B0373">
        <w:rPr>
          <w:b/>
          <w:bCs/>
          <w:i/>
        </w:rPr>
        <w:tab/>
      </w:r>
      <w:r w:rsidRPr="002B0373">
        <w:rPr>
          <w:b/>
          <w:i/>
        </w:rPr>
        <w:t>Take the legislative, administrative and other measures necessary to guarantee the respect for the physical integrity and autonomy of intersex persons and to ensure that no one is subjected during infancy or childhood to non-urgent medical or surgical procedures intended to decide the sex of the child;</w:t>
      </w:r>
    </w:p>
    <w:p w14:paraId="5E9F7908" w14:textId="77777777" w:rsidR="004E1DF1" w:rsidRPr="002B0373" w:rsidRDefault="004E1DF1" w:rsidP="00CE680A">
      <w:pPr>
        <w:pStyle w:val="absatzschattenbericht"/>
        <w:rPr>
          <w:b/>
          <w:i/>
        </w:rPr>
      </w:pPr>
      <w:r w:rsidRPr="002B0373">
        <w:rPr>
          <w:b/>
          <w:bCs/>
          <w:i/>
        </w:rPr>
        <w:tab/>
        <w:t>(b)</w:t>
      </w:r>
      <w:r w:rsidRPr="002B0373">
        <w:rPr>
          <w:b/>
          <w:bCs/>
          <w:i/>
        </w:rPr>
        <w:tab/>
      </w:r>
      <w:r w:rsidRPr="002B0373">
        <w:rPr>
          <w:b/>
          <w:i/>
        </w:rPr>
        <w:t>Guarantee impartial counselling services for all intersex children and their parents, so as to inform them of the consequences of unnecessary and non-urgent surgery and other medical treatment to decide on the sex of the child and the possibility of postponing any decision on such treatment or surgery until the persons concerned can decide by themselves;</w:t>
      </w:r>
    </w:p>
    <w:p w14:paraId="26F32244" w14:textId="77777777" w:rsidR="004E1DF1" w:rsidRPr="002B0373" w:rsidRDefault="004E1DF1" w:rsidP="00CE680A">
      <w:pPr>
        <w:pStyle w:val="absatzschattenbericht"/>
        <w:rPr>
          <w:b/>
          <w:bCs/>
          <w:i/>
        </w:rPr>
      </w:pPr>
      <w:r w:rsidRPr="002B0373">
        <w:rPr>
          <w:b/>
          <w:bCs/>
          <w:i/>
        </w:rPr>
        <w:tab/>
        <w:t>(c)</w:t>
      </w:r>
      <w:r w:rsidRPr="002B0373">
        <w:rPr>
          <w:b/>
          <w:bCs/>
          <w:i/>
        </w:rPr>
        <w:tab/>
      </w:r>
      <w:r w:rsidRPr="002B0373">
        <w:rPr>
          <w:b/>
          <w:i/>
        </w:rPr>
        <w:t xml:space="preserve">Guarantee that full, free and informed consent is ensured in connection </w:t>
      </w:r>
      <w:r w:rsidRPr="002B0373">
        <w:rPr>
          <w:b/>
          <w:i/>
        </w:rPr>
        <w:lastRenderedPageBreak/>
        <w:t>with medical and surgical treatments for intersex persons and that non-urgent, irreversible medical interventions are postponed until a child is sufficiently mature to participate in decision-making and give effective consent;</w:t>
      </w:r>
    </w:p>
    <w:p w14:paraId="587655EE" w14:textId="77777777" w:rsidR="004E1DF1" w:rsidRPr="002B0373" w:rsidRDefault="004E1DF1" w:rsidP="00CE680A">
      <w:pPr>
        <w:pStyle w:val="absatzschattenbericht"/>
        <w:rPr>
          <w:b/>
          <w:bCs/>
        </w:rPr>
      </w:pPr>
      <w:r w:rsidRPr="002B0373">
        <w:rPr>
          <w:b/>
          <w:bCs/>
          <w:i/>
        </w:rPr>
        <w:tab/>
        <w:t>(d)</w:t>
      </w:r>
      <w:r w:rsidRPr="002B0373">
        <w:rPr>
          <w:b/>
          <w:bCs/>
          <w:i/>
        </w:rPr>
        <w:tab/>
      </w:r>
      <w:r w:rsidRPr="002B0373">
        <w:rPr>
          <w:b/>
          <w:i/>
        </w:rPr>
        <w:t>Undertake investigation of instances of surgical interventions or other medical procedures performed on intersex persons without effective consent and ensure that the persons concerned are adequately compensated.</w:t>
      </w:r>
    </w:p>
    <w:p w14:paraId="714B20E9" w14:textId="70E81929" w:rsidR="00A27D19" w:rsidRDefault="00A27D19">
      <w:pPr>
        <w:widowControl/>
        <w:suppressAutoHyphens w:val="0"/>
        <w:textAlignment w:val="auto"/>
        <w:rPr>
          <w:rFonts w:eastAsia="Baskerville" w:cs="Baskerville"/>
          <w:color w:val="000000"/>
          <w:spacing w:val="2"/>
          <w:lang w:val="en-US"/>
        </w:rPr>
      </w:pPr>
      <w:r>
        <w:rPr>
          <w:lang w:val="en-US"/>
        </w:rPr>
        <w:br w:type="page"/>
      </w:r>
    </w:p>
    <w:p w14:paraId="75137E6E" w14:textId="52130C5C" w:rsidR="004E1DF1" w:rsidRPr="0037518F" w:rsidRDefault="004E1DF1" w:rsidP="0093535A">
      <w:pPr>
        <w:pStyle w:val="Title2"/>
        <w:rPr>
          <w:lang w:val="en-US"/>
        </w:rPr>
      </w:pPr>
      <w:bookmarkStart w:id="41" w:name="_Toc11105536"/>
      <w:r>
        <w:lastRenderedPageBreak/>
        <w:t xml:space="preserve">2.  </w:t>
      </w:r>
      <w:r w:rsidR="009B7236">
        <w:t>2018 List of I</w:t>
      </w:r>
      <w:r w:rsidRPr="00A56C3D">
        <w:t xml:space="preserve">ssues </w:t>
      </w:r>
      <w:r w:rsidRPr="00315E2F">
        <w:t>on Intersex</w:t>
      </w:r>
      <w:r>
        <w:t xml:space="preserve"> </w:t>
      </w:r>
      <w:r w:rsidRPr="00315E2F">
        <w:t>(</w:t>
      </w:r>
      <w:r w:rsidRPr="004E1DF1">
        <w:rPr>
          <w:lang w:val="en-US"/>
        </w:rPr>
        <w:t>CEDAW/C/AUT/Q/9</w:t>
      </w:r>
      <w:r w:rsidR="00FE42BA">
        <w:t xml:space="preserve">, </w:t>
      </w:r>
      <w:r w:rsidR="009F63E7">
        <w:t xml:space="preserve">para </w:t>
      </w:r>
      <w:r w:rsidR="00FE42BA">
        <w:t>11</w:t>
      </w:r>
      <w:r w:rsidRPr="0037518F">
        <w:rPr>
          <w:lang w:val="en-US"/>
        </w:rPr>
        <w:t>)</w:t>
      </w:r>
      <w:bookmarkEnd w:id="41"/>
    </w:p>
    <w:p w14:paraId="310F2969" w14:textId="77777777" w:rsidR="004E1DF1" w:rsidRPr="009B7236" w:rsidRDefault="004E1DF1" w:rsidP="00CE680A">
      <w:pPr>
        <w:pStyle w:val="absatzschattenbericht"/>
      </w:pPr>
    </w:p>
    <w:p w14:paraId="2DB46628" w14:textId="64E22B20" w:rsidR="004E1DF1" w:rsidRPr="002B0373" w:rsidRDefault="004E1DF1" w:rsidP="00CE680A">
      <w:pPr>
        <w:pStyle w:val="absatzschattenbericht"/>
        <w:rPr>
          <w:b/>
          <w:i/>
        </w:rPr>
      </w:pPr>
      <w:r w:rsidRPr="002B0373">
        <w:rPr>
          <w:b/>
          <w:i/>
        </w:rPr>
        <w:t>Stereotypes and harmful practices</w:t>
      </w:r>
    </w:p>
    <w:p w14:paraId="5E86C531" w14:textId="65E081FB" w:rsidR="004E1DF1" w:rsidRPr="002B0373" w:rsidRDefault="004E1DF1" w:rsidP="00CE680A">
      <w:pPr>
        <w:pStyle w:val="absatzschattenbericht"/>
        <w:rPr>
          <w:i/>
        </w:rPr>
      </w:pPr>
      <w:r w:rsidRPr="002B0373">
        <w:rPr>
          <w:i/>
        </w:rPr>
        <w:t>[…]</w:t>
      </w:r>
    </w:p>
    <w:p w14:paraId="0EE0A7A7" w14:textId="26FE42E4" w:rsidR="004E1DF1" w:rsidRPr="00DE5118" w:rsidRDefault="004E1DF1" w:rsidP="00CE680A">
      <w:pPr>
        <w:pStyle w:val="absatzschattenbericht"/>
      </w:pPr>
      <w:r w:rsidRPr="002B0373">
        <w:rPr>
          <w:i/>
        </w:rPr>
        <w:t>11.</w:t>
      </w:r>
      <w:r w:rsidRPr="002B0373">
        <w:rPr>
          <w:i/>
        </w:rPr>
        <w:tab/>
        <w:t>Please provide information, including detailed statistics, on legal and medical standards following best practices in relation to medical and surgical treatment of intersex persons, on investigations into incidents of involuntary sterilization or unnecessary and irreversible surgical or other medical treatment, very often done without the informed consent of the patient, and on existing remedies to the victims of such treatment, including adequate compensation. Please also indicate how many persons have registered as a third gender, following its legal recognition by the Constitutional Court in June 2018.</w:t>
      </w:r>
    </w:p>
    <w:p w14:paraId="70562146" w14:textId="77777777" w:rsidR="00A27D19" w:rsidRPr="00DE5118" w:rsidRDefault="00A27D19" w:rsidP="00CE680A">
      <w:pPr>
        <w:pStyle w:val="absatzschattenbericht"/>
      </w:pPr>
    </w:p>
    <w:p w14:paraId="33477610" w14:textId="77777777" w:rsidR="00A27D19" w:rsidRPr="00DE5118" w:rsidRDefault="00A27D19" w:rsidP="00CE680A">
      <w:pPr>
        <w:pStyle w:val="absatzschattenbericht"/>
      </w:pPr>
    </w:p>
    <w:p w14:paraId="34338C90" w14:textId="144A163B" w:rsidR="004E1DF1" w:rsidRPr="00365B89" w:rsidRDefault="00AF1A18" w:rsidP="0093535A">
      <w:pPr>
        <w:pStyle w:val="Title2"/>
      </w:pPr>
      <w:bookmarkStart w:id="42" w:name="_Toc532733089"/>
      <w:bookmarkStart w:id="43" w:name="_Toc532779637"/>
      <w:bookmarkStart w:id="44" w:name="_Toc536504883"/>
      <w:bookmarkStart w:id="45" w:name="_Toc11105537"/>
      <w:r>
        <w:t>3</w:t>
      </w:r>
      <w:r w:rsidR="004E1DF1">
        <w:t xml:space="preserve">.  </w:t>
      </w:r>
      <w:r w:rsidR="00A27D19">
        <w:t xml:space="preserve">2019 </w:t>
      </w:r>
      <w:r w:rsidR="004E1DF1">
        <w:t>Reply to the L</w:t>
      </w:r>
      <w:r w:rsidR="009B7236">
        <w:t>ist of I</w:t>
      </w:r>
      <w:r w:rsidR="004E1DF1" w:rsidRPr="00A56C3D">
        <w:t xml:space="preserve">ssues </w:t>
      </w:r>
      <w:r w:rsidR="004E1DF1" w:rsidRPr="00315E2F">
        <w:t>on Intersex</w:t>
      </w:r>
      <w:r w:rsidR="000E304F">
        <w:br/>
        <w:t xml:space="preserve">     </w:t>
      </w:r>
      <w:r w:rsidR="004E1DF1" w:rsidRPr="00315E2F">
        <w:t>(</w:t>
      </w:r>
      <w:bookmarkEnd w:id="42"/>
      <w:r w:rsidR="00FE42BA" w:rsidRPr="00FE42BA">
        <w:t>CEDAW/C/AUT/Q/9/Add.1</w:t>
      </w:r>
      <w:r w:rsidR="00FE42BA">
        <w:t xml:space="preserve">, </w:t>
      </w:r>
      <w:r w:rsidR="009D0FDD">
        <w:t xml:space="preserve">paras </w:t>
      </w:r>
      <w:r w:rsidR="00FE42BA">
        <w:t>67-69</w:t>
      </w:r>
      <w:r w:rsidR="004E1DF1">
        <w:t>)</w:t>
      </w:r>
      <w:bookmarkEnd w:id="43"/>
      <w:bookmarkEnd w:id="44"/>
      <w:bookmarkEnd w:id="45"/>
    </w:p>
    <w:p w14:paraId="2DDC07CC" w14:textId="77777777" w:rsidR="00021640" w:rsidRPr="00DE5118" w:rsidRDefault="00021640" w:rsidP="00CE680A">
      <w:pPr>
        <w:pStyle w:val="absatzschattenbericht"/>
      </w:pPr>
    </w:p>
    <w:p w14:paraId="68D23A98" w14:textId="77777777" w:rsidR="00FE42BA" w:rsidRPr="002B0373" w:rsidRDefault="00FE42BA" w:rsidP="00CE680A">
      <w:pPr>
        <w:pStyle w:val="absatzschattenbericht"/>
        <w:rPr>
          <w:b/>
          <w:i/>
        </w:rPr>
      </w:pPr>
      <w:r w:rsidRPr="002B0373">
        <w:rPr>
          <w:b/>
          <w:i/>
        </w:rPr>
        <w:t>Regarding Issue 11</w:t>
      </w:r>
    </w:p>
    <w:p w14:paraId="53A7E8A4" w14:textId="77777777" w:rsidR="00FE42BA" w:rsidRPr="002B0373" w:rsidRDefault="00FE42BA" w:rsidP="00CE680A">
      <w:pPr>
        <w:pStyle w:val="absatzschattenbericht"/>
        <w:rPr>
          <w:i/>
        </w:rPr>
      </w:pPr>
      <w:r w:rsidRPr="002B0373">
        <w:rPr>
          <w:i/>
        </w:rPr>
        <w:t>67.</w:t>
      </w:r>
      <w:r w:rsidRPr="002B0373">
        <w:rPr>
          <w:i/>
        </w:rPr>
        <w:tab/>
        <w:t>In its judgment from 15 June 2018, the Constitutional Court held that intersex people, who are biologically neither clearly “male” nor “female”, have the right to be registered according to their sex characteristics in the civil register or in official documents. A ministerial working group clarified issues related to the civil register.</w:t>
      </w:r>
    </w:p>
    <w:p w14:paraId="6B94C7FF" w14:textId="77777777" w:rsidR="00FE42BA" w:rsidRPr="002B0373" w:rsidRDefault="00FE42BA" w:rsidP="00CE680A">
      <w:pPr>
        <w:pStyle w:val="absatzschattenbericht"/>
        <w:rPr>
          <w:i/>
        </w:rPr>
      </w:pPr>
      <w:r w:rsidRPr="002B0373">
        <w:rPr>
          <w:i/>
        </w:rPr>
        <w:t>68.</w:t>
      </w:r>
      <w:r w:rsidRPr="002B0373">
        <w:rPr>
          <w:i/>
        </w:rPr>
        <w:tab/>
        <w:t xml:space="preserve">The Court did not comment on legal or medical requirements for medical interventions for intersex people in its decision. From a tort law perspective, any </w:t>
      </w:r>
      <w:r w:rsidRPr="002B0373">
        <w:rPr>
          <w:i/>
        </w:rPr>
        <w:lastRenderedPageBreak/>
        <w:t>medical treatment that harms a person’s physical integrity is considered a bodily injury and therefore unlawful. Only effective consent of the person concerned can justify such an unlawful intervention. In absence of effective consent, it can be assumed that compensation can be claimed for the treatment of intersex people.</w:t>
      </w:r>
    </w:p>
    <w:p w14:paraId="45C97B78" w14:textId="77777777" w:rsidR="00FE42BA" w:rsidRPr="00DE5118" w:rsidRDefault="00FE42BA" w:rsidP="00CE680A">
      <w:pPr>
        <w:pStyle w:val="absatzschattenbericht"/>
      </w:pPr>
      <w:r w:rsidRPr="002B0373">
        <w:rPr>
          <w:i/>
        </w:rPr>
        <w:t>69.</w:t>
      </w:r>
      <w:r w:rsidRPr="002B0373">
        <w:rPr>
          <w:i/>
        </w:rPr>
        <w:tab/>
        <w:t>There are no statistical data on medical and surgical interventions in intersex people.</w:t>
      </w:r>
    </w:p>
    <w:bookmarkEnd w:id="36"/>
    <w:bookmarkEnd w:id="37"/>
    <w:bookmarkEnd w:id="38"/>
    <w:p w14:paraId="62D2A415" w14:textId="77777777" w:rsidR="004E1DF1" w:rsidRPr="008521EA" w:rsidRDefault="004E1DF1" w:rsidP="00CE680A">
      <w:pPr>
        <w:pStyle w:val="absatzschattenbericht"/>
      </w:pPr>
    </w:p>
    <w:p w14:paraId="180BEB8A" w14:textId="59B47ED0" w:rsidR="00B86718" w:rsidRPr="008521EA" w:rsidRDefault="00C372F6" w:rsidP="0067622A">
      <w:pPr>
        <w:pStyle w:val="Title1"/>
        <w:rPr>
          <w:lang w:val="en-GB"/>
        </w:rPr>
      </w:pPr>
      <w:bookmarkStart w:id="46" w:name="_Toc11105538"/>
      <w:bookmarkEnd w:id="14"/>
      <w:bookmarkEnd w:id="15"/>
      <w:bookmarkEnd w:id="16"/>
      <w:r>
        <w:rPr>
          <w:lang w:val="en-US"/>
        </w:rPr>
        <w:lastRenderedPageBreak/>
        <w:t>C</w:t>
      </w:r>
      <w:r w:rsidR="00B86718" w:rsidRPr="008521EA">
        <w:rPr>
          <w:lang w:val="en-GB"/>
        </w:rPr>
        <w:t xml:space="preserve">.  IGM in </w:t>
      </w:r>
      <w:r w:rsidR="00D771E2">
        <w:rPr>
          <w:lang w:val="en-GB"/>
        </w:rPr>
        <w:t>Austria</w:t>
      </w:r>
      <w:r w:rsidR="00B86718" w:rsidRPr="008521EA">
        <w:rPr>
          <w:lang w:val="en-GB"/>
        </w:rPr>
        <w:t xml:space="preserve">: </w:t>
      </w:r>
      <w:r>
        <w:rPr>
          <w:lang w:val="en-GB"/>
        </w:rPr>
        <w:t xml:space="preserve">Still </w:t>
      </w:r>
      <w:r w:rsidR="00B86718" w:rsidRPr="008521EA">
        <w:rPr>
          <w:lang w:val="en-GB"/>
        </w:rPr>
        <w:t>State-sponsored and pervasive, Gov fails to act</w:t>
      </w:r>
      <w:bookmarkEnd w:id="46"/>
    </w:p>
    <w:p w14:paraId="51ECBD13" w14:textId="66F469E7" w:rsidR="00537CB2" w:rsidRPr="008521EA" w:rsidRDefault="00B86718" w:rsidP="0093535A">
      <w:pPr>
        <w:pStyle w:val="Title2"/>
        <w:rPr>
          <w:color w:val="800000"/>
        </w:rPr>
      </w:pPr>
      <w:bookmarkStart w:id="47" w:name="_Toc453620708"/>
      <w:bookmarkStart w:id="48" w:name="_Toc463295405"/>
      <w:bookmarkStart w:id="49" w:name="_Toc472718955"/>
      <w:bookmarkStart w:id="50" w:name="_Toc11105539"/>
      <w:bookmarkEnd w:id="17"/>
      <w:bookmarkEnd w:id="18"/>
      <w:bookmarkEnd w:id="19"/>
      <w:r w:rsidRPr="008521EA">
        <w:t>1</w:t>
      </w:r>
      <w:r w:rsidR="00537CB2" w:rsidRPr="008521EA">
        <w:t xml:space="preserve">.  </w:t>
      </w:r>
      <w:r w:rsidR="00C372F6">
        <w:t>Update</w:t>
      </w:r>
      <w:r w:rsidR="00E349E1" w:rsidRPr="008521EA">
        <w:t xml:space="preserve">: </w:t>
      </w:r>
      <w:r w:rsidR="00602714">
        <w:t>Still no P</w:t>
      </w:r>
      <w:r w:rsidR="00C372F6">
        <w:t xml:space="preserve">rotections, </w:t>
      </w:r>
      <w:r w:rsidR="00602714">
        <w:t>IGM P</w:t>
      </w:r>
      <w:r w:rsidR="00537CB2" w:rsidRPr="008521EA">
        <w:t xml:space="preserve">ractices </w:t>
      </w:r>
      <w:bookmarkEnd w:id="47"/>
      <w:bookmarkEnd w:id="48"/>
      <w:bookmarkEnd w:id="49"/>
      <w:r w:rsidR="00C372F6">
        <w:t xml:space="preserve">continue </w:t>
      </w:r>
      <w:r w:rsidR="00602714">
        <w:t>with Impunity</w:t>
      </w:r>
      <w:r w:rsidR="00896821" w:rsidRPr="008521EA">
        <w:t xml:space="preserve"> (</w:t>
      </w:r>
      <w:r w:rsidR="00974053">
        <w:t>art. 5</w:t>
      </w:r>
      <w:r w:rsidR="00896821" w:rsidRPr="008521EA">
        <w:t>)</w:t>
      </w:r>
      <w:bookmarkEnd w:id="50"/>
    </w:p>
    <w:p w14:paraId="2917AC11" w14:textId="7C124E74" w:rsidR="00C372F6" w:rsidRDefault="00C372F6" w:rsidP="00442D12">
      <w:pPr>
        <w:pStyle w:val="absatzschattenbericht"/>
        <w:spacing w:after="113"/>
      </w:pPr>
      <w:r>
        <w:t xml:space="preserve">As directly and indirectly confirmed by the </w:t>
      </w:r>
      <w:r w:rsidRPr="004218E0">
        <w:rPr>
          <w:b/>
          <w:bCs/>
        </w:rPr>
        <w:t>State party’s reply to the List of Issues</w:t>
      </w:r>
      <w:r>
        <w:t xml:space="preserve"> (</w:t>
      </w:r>
      <w:r w:rsidR="00342473">
        <w:t xml:space="preserve">see also </w:t>
      </w:r>
      <w:r w:rsidR="00751563">
        <w:t xml:space="preserve">below </w:t>
      </w:r>
      <w:r w:rsidR="00342473">
        <w:t>p. </w:t>
      </w:r>
      <w:r w:rsidR="0090269B">
        <w:t>12-13</w:t>
      </w:r>
      <w:r>
        <w:t>) and further demonstrated in this NGO report</w:t>
      </w:r>
      <w:r w:rsidRPr="00342473">
        <w:rPr>
          <w:b/>
          <w:bCs/>
        </w:rPr>
        <w:t>, the situation hasn’</w:t>
      </w:r>
      <w:r w:rsidR="004218E0" w:rsidRPr="00342473">
        <w:rPr>
          <w:b/>
          <w:bCs/>
        </w:rPr>
        <w:t>t changed:</w:t>
      </w:r>
    </w:p>
    <w:p w14:paraId="021E5AD9" w14:textId="0B2CDCD3" w:rsidR="00BD7FB3" w:rsidRPr="008521EA" w:rsidRDefault="00537CB2" w:rsidP="00442D12">
      <w:pPr>
        <w:pStyle w:val="absatzschattenbericht"/>
        <w:spacing w:after="113"/>
      </w:pPr>
      <w:r w:rsidRPr="008521EA">
        <w:t xml:space="preserve">In </w:t>
      </w:r>
      <w:r w:rsidR="00D771E2">
        <w:rPr>
          <w:rFonts w:eastAsia="Baskerville-SemiBold"/>
          <w:b/>
          <w:bCs/>
        </w:rPr>
        <w:t>Austria</w:t>
      </w:r>
      <w:r w:rsidR="00235598" w:rsidRPr="008521EA">
        <w:rPr>
          <w:rFonts w:eastAsia="Baskerville-SemiBold"/>
          <w:b/>
          <w:bCs/>
        </w:rPr>
        <w:t xml:space="preserve"> </w:t>
      </w:r>
      <w:r w:rsidR="00342473">
        <w:t>(</w:t>
      </w:r>
      <w:r w:rsidR="00D771E2" w:rsidRPr="00D771E2">
        <w:t>CAT/C/AUT/CO/6, paras 44–45</w:t>
      </w:r>
      <w:r w:rsidR="00C838B4" w:rsidRPr="008521EA">
        <w:t>)</w:t>
      </w:r>
      <w:r w:rsidRPr="008521EA">
        <w:t xml:space="preserve">, </w:t>
      </w:r>
      <w:r w:rsidRPr="008521EA">
        <w:rPr>
          <w:b/>
        </w:rPr>
        <w:t>same as in the neighbouring states</w:t>
      </w:r>
      <w:r w:rsidRPr="008521EA">
        <w:t xml:space="preserve"> of</w:t>
      </w:r>
      <w:r w:rsidR="0017123F" w:rsidRPr="008521EA">
        <w:t xml:space="preserve"> </w:t>
      </w:r>
      <w:r w:rsidR="00D771E2">
        <w:rPr>
          <w:i/>
        </w:rPr>
        <w:t xml:space="preserve">Germany </w:t>
      </w:r>
      <w:r w:rsidR="00342473">
        <w:t>(</w:t>
      </w:r>
      <w:r w:rsidR="00627D7F" w:rsidRPr="008521EA">
        <w:t>CEDAW/C/DEU/CO/7-8, paras 23-24</w:t>
      </w:r>
      <w:r w:rsidR="00627D7F">
        <w:t xml:space="preserve">; CAT/C/DEU/CO/5, </w:t>
      </w:r>
      <w:r w:rsidR="00D771E2" w:rsidRPr="008521EA">
        <w:t>para 20;</w:t>
      </w:r>
      <w:r w:rsidR="00627D7F">
        <w:t xml:space="preserve"> CRPD/C/DEU/CO/1, paras 37-38</w:t>
      </w:r>
      <w:r w:rsidR="00D771E2">
        <w:t xml:space="preserve">), </w:t>
      </w:r>
      <w:r w:rsidR="0017123F" w:rsidRPr="008521EA">
        <w:rPr>
          <w:i/>
        </w:rPr>
        <w:t xml:space="preserve">Switzerland </w:t>
      </w:r>
      <w:r w:rsidR="00342473">
        <w:t>(</w:t>
      </w:r>
      <w:r w:rsidR="00627D7F" w:rsidRPr="008521EA">
        <w:t>CEDAW/C/CHE/CO/4-5, paras 38-39</w:t>
      </w:r>
      <w:r w:rsidR="00627D7F">
        <w:t xml:space="preserve">; </w:t>
      </w:r>
      <w:r w:rsidR="0017123F" w:rsidRPr="008521EA">
        <w:t>CRC/C/CHE/CO/2-4, paras 42-43; CAT/C/CHE/CO/7, para 20</w:t>
      </w:r>
      <w:r w:rsidR="00B86718" w:rsidRPr="008521EA">
        <w:t>;</w:t>
      </w:r>
      <w:r w:rsidR="00627D7F">
        <w:t xml:space="preserve"> CCPR/C/CHE/CO/4, paras 24-25)</w:t>
      </w:r>
      <w:r w:rsidR="00A52AD2" w:rsidRPr="008521EA">
        <w:t xml:space="preserve">, </w:t>
      </w:r>
      <w:r w:rsidR="004E4E2B" w:rsidRPr="008521EA">
        <w:rPr>
          <w:b/>
        </w:rPr>
        <w:t>and in many more State parties,</w:t>
      </w:r>
      <w:r w:rsidR="004E4E2B" w:rsidRPr="008521EA">
        <w:rPr>
          <w:rStyle w:val="FootnoteReference"/>
          <w:b/>
        </w:rPr>
        <w:footnoteReference w:id="7"/>
      </w:r>
      <w:r w:rsidR="004E4E2B" w:rsidRPr="008521EA">
        <w:t xml:space="preserve"> there are</w:t>
      </w:r>
    </w:p>
    <w:p w14:paraId="618FDB3F" w14:textId="6B79BE60" w:rsidR="00537CB2" w:rsidRPr="008521EA" w:rsidRDefault="004218E0" w:rsidP="00CE680A">
      <w:pPr>
        <w:pStyle w:val="absatzschattenbericht"/>
        <w:numPr>
          <w:ilvl w:val="0"/>
          <w:numId w:val="19"/>
        </w:numPr>
        <w:rPr>
          <w:b/>
          <w:iCs/>
        </w:rPr>
      </w:pPr>
      <w:r>
        <w:rPr>
          <w:rFonts w:eastAsia="Baskerville-Bold"/>
          <w:b/>
          <w:bCs/>
        </w:rPr>
        <w:t xml:space="preserve">still </w:t>
      </w:r>
      <w:r w:rsidR="00537CB2" w:rsidRPr="008521EA">
        <w:rPr>
          <w:rFonts w:eastAsia="Baskerville-Bold"/>
          <w:b/>
          <w:bCs/>
        </w:rPr>
        <w:t xml:space="preserve">no </w:t>
      </w:r>
      <w:r w:rsidR="00E349E1" w:rsidRPr="008521EA">
        <w:rPr>
          <w:rFonts w:eastAsia="Baskerville-Bold"/>
          <w:b/>
          <w:bCs/>
        </w:rPr>
        <w:t xml:space="preserve">effective </w:t>
      </w:r>
      <w:r w:rsidR="00537CB2" w:rsidRPr="008521EA">
        <w:rPr>
          <w:rFonts w:eastAsia="Baskerville-Bold"/>
          <w:b/>
          <w:bCs/>
        </w:rPr>
        <w:t>legal or other protections</w:t>
      </w:r>
      <w:r w:rsidR="00537CB2" w:rsidRPr="008521EA">
        <w:t xml:space="preserve"> in place to ensure the rights of intersex children to physical and mental integrity, autonomy and self-determination, and </w:t>
      </w:r>
      <w:r w:rsidR="00537CB2" w:rsidRPr="008521EA">
        <w:rPr>
          <w:b/>
        </w:rPr>
        <w:t>to prevent</w:t>
      </w:r>
      <w:r w:rsidR="009560D1" w:rsidRPr="008521EA">
        <w:rPr>
          <w:iCs/>
        </w:rPr>
        <w:t xml:space="preserve"> </w:t>
      </w:r>
      <w:r w:rsidR="009560D1" w:rsidRPr="008521EA">
        <w:rPr>
          <w:b/>
          <w:iCs/>
        </w:rPr>
        <w:t>IGM</w:t>
      </w:r>
    </w:p>
    <w:p w14:paraId="66DAE45E" w14:textId="59C181D1" w:rsidR="00BD7FB3" w:rsidRPr="008521EA" w:rsidRDefault="004218E0" w:rsidP="00CE680A">
      <w:pPr>
        <w:pStyle w:val="absatzschattenbericht"/>
        <w:numPr>
          <w:ilvl w:val="0"/>
          <w:numId w:val="19"/>
        </w:numPr>
        <w:rPr>
          <w:iCs/>
        </w:rPr>
      </w:pPr>
      <w:r w:rsidRPr="002B0373">
        <w:rPr>
          <w:b/>
        </w:rPr>
        <w:t xml:space="preserve">still </w:t>
      </w:r>
      <w:r w:rsidR="00BD7FB3" w:rsidRPr="002B0373">
        <w:rPr>
          <w:b/>
        </w:rPr>
        <w:t>no measures</w:t>
      </w:r>
      <w:r w:rsidR="00BD7FB3" w:rsidRPr="008521EA">
        <w:t xml:space="preserve"> in place to ensure</w:t>
      </w:r>
      <w:r w:rsidR="009560D1" w:rsidRPr="008521EA">
        <w:t xml:space="preserve"> </w:t>
      </w:r>
      <w:r w:rsidR="00836A26" w:rsidRPr="002B0373">
        <w:rPr>
          <w:b/>
        </w:rPr>
        <w:t>systematic</w:t>
      </w:r>
      <w:r w:rsidR="00BD7FB3" w:rsidRPr="002B0373">
        <w:rPr>
          <w:b/>
        </w:rPr>
        <w:t xml:space="preserve"> data collection and monitoring</w:t>
      </w:r>
      <w:r w:rsidR="009560D1" w:rsidRPr="002B0373">
        <w:rPr>
          <w:b/>
        </w:rPr>
        <w:t xml:space="preserve"> </w:t>
      </w:r>
      <w:r w:rsidR="009560D1" w:rsidRPr="008521EA">
        <w:t xml:space="preserve">of IGM </w:t>
      </w:r>
    </w:p>
    <w:p w14:paraId="7677CAE1" w14:textId="6F9E1D11" w:rsidR="00BD7FB3" w:rsidRPr="008521EA" w:rsidRDefault="004218E0" w:rsidP="00CE680A">
      <w:pPr>
        <w:pStyle w:val="absatzschattenbericht"/>
        <w:numPr>
          <w:ilvl w:val="0"/>
          <w:numId w:val="19"/>
        </w:numPr>
      </w:pPr>
      <w:r w:rsidRPr="002B0373">
        <w:rPr>
          <w:b/>
        </w:rPr>
        <w:t xml:space="preserve">still </w:t>
      </w:r>
      <w:r w:rsidR="00F17FA9" w:rsidRPr="002B0373">
        <w:rPr>
          <w:b/>
        </w:rPr>
        <w:t>no legal or other measures</w:t>
      </w:r>
      <w:r w:rsidR="00F17FA9" w:rsidRPr="008521EA">
        <w:t xml:space="preserve"> in place to ensure the </w:t>
      </w:r>
      <w:r w:rsidR="00F17FA9" w:rsidRPr="002B0373">
        <w:rPr>
          <w:b/>
        </w:rPr>
        <w:t>accountability</w:t>
      </w:r>
      <w:r w:rsidR="00F17FA9" w:rsidRPr="008521EA">
        <w:t xml:space="preserve"> of IGM perpetrators</w:t>
      </w:r>
    </w:p>
    <w:p w14:paraId="6CAF06AE" w14:textId="1FCE15D4" w:rsidR="00A71B59" w:rsidRPr="008521EA" w:rsidRDefault="004218E0" w:rsidP="00442D12">
      <w:pPr>
        <w:pStyle w:val="absatzschattenbericht"/>
        <w:numPr>
          <w:ilvl w:val="0"/>
          <w:numId w:val="19"/>
        </w:numPr>
        <w:spacing w:after="113"/>
        <w:ind w:left="714" w:hanging="357"/>
      </w:pPr>
      <w:r w:rsidRPr="002B0373">
        <w:rPr>
          <w:b/>
        </w:rPr>
        <w:t xml:space="preserve">still </w:t>
      </w:r>
      <w:r w:rsidR="006159E1" w:rsidRPr="002B0373">
        <w:rPr>
          <w:b/>
        </w:rPr>
        <w:t>no legal or other measures</w:t>
      </w:r>
      <w:r w:rsidR="006159E1" w:rsidRPr="008521EA">
        <w:t xml:space="preserve"> in place to ensure </w:t>
      </w:r>
      <w:r w:rsidR="006159E1" w:rsidRPr="002B0373">
        <w:rPr>
          <w:b/>
        </w:rPr>
        <w:t>access to redress and justice</w:t>
      </w:r>
      <w:r w:rsidR="006159E1" w:rsidRPr="008521EA">
        <w:t xml:space="preserve"> for adult IGM survivors</w:t>
      </w:r>
    </w:p>
    <w:p w14:paraId="716BF59C" w14:textId="3BE51A93" w:rsidR="00E510BE" w:rsidRDefault="00896821" w:rsidP="00CE680A">
      <w:pPr>
        <w:pStyle w:val="absatzschattenbericht"/>
      </w:pPr>
      <w:r w:rsidRPr="008521EA">
        <w:lastRenderedPageBreak/>
        <w:t>To this day</w:t>
      </w:r>
      <w:r w:rsidR="009626A5" w:rsidRPr="008521EA">
        <w:t xml:space="preserve">, </w:t>
      </w:r>
      <w:r w:rsidR="00EE18CF" w:rsidRPr="008521EA">
        <w:t xml:space="preserve">the </w:t>
      </w:r>
      <w:r w:rsidR="00643695" w:rsidRPr="002B0373">
        <w:rPr>
          <w:rFonts w:eastAsia="Baskerville-Bold"/>
          <w:b/>
          <w:bCs/>
        </w:rPr>
        <w:t>Austrian</w:t>
      </w:r>
      <w:r w:rsidR="00EE18CF" w:rsidRPr="002B0373">
        <w:rPr>
          <w:rFonts w:eastAsia="Baskerville-Bold"/>
          <w:b/>
          <w:bCs/>
        </w:rPr>
        <w:t xml:space="preserve"> government</w:t>
      </w:r>
      <w:r w:rsidR="00E510BE" w:rsidRPr="002B0373">
        <w:rPr>
          <w:b/>
        </w:rPr>
        <w:t xml:space="preserve"> allows IGM practices to continue with impunity </w:t>
      </w:r>
      <w:r w:rsidR="00E510BE">
        <w:t>and against better knowledge</w:t>
      </w:r>
      <w:r w:rsidR="00751563">
        <w:t xml:space="preserve"> – </w:t>
      </w:r>
      <w:r w:rsidR="00751563" w:rsidRPr="002B0373">
        <w:rPr>
          <w:b/>
          <w:bCs/>
        </w:rPr>
        <w:t>all the practices</w:t>
      </w:r>
      <w:r w:rsidR="00751563" w:rsidRPr="00751563">
        <w:rPr>
          <w:bCs/>
        </w:rPr>
        <w:t xml:space="preserve"> </w:t>
      </w:r>
      <w:r w:rsidR="00751563" w:rsidRPr="00751563">
        <w:t>documented in our</w:t>
      </w:r>
      <w:r w:rsidR="00751563" w:rsidRPr="00751563">
        <w:rPr>
          <w:bCs/>
        </w:rPr>
        <w:t xml:space="preserve"> </w:t>
      </w:r>
      <w:r w:rsidR="00751563" w:rsidRPr="002B0373">
        <w:rPr>
          <w:b/>
          <w:bCs/>
        </w:rPr>
        <w:t>PSWG report</w:t>
      </w:r>
      <w:r w:rsidR="00751563">
        <w:t xml:space="preserve"> (p. 11-13) </w:t>
      </w:r>
      <w:r w:rsidR="00751563" w:rsidRPr="002B0373">
        <w:rPr>
          <w:b/>
          <w:bCs/>
        </w:rPr>
        <w:t>continue unchanged</w:t>
      </w:r>
      <w:r w:rsidR="00E510BE" w:rsidRPr="00751563">
        <w:rPr>
          <w:bCs/>
        </w:rPr>
        <w:t>.</w:t>
      </w:r>
      <w:r w:rsidR="00E510BE">
        <w:t xml:space="preserve"> </w:t>
      </w:r>
    </w:p>
    <w:p w14:paraId="09D70A07" w14:textId="74F54267" w:rsidR="00864BA3" w:rsidRDefault="004218E0" w:rsidP="00442D12">
      <w:pPr>
        <w:pStyle w:val="absatzschattenbericht"/>
        <w:spacing w:after="113"/>
      </w:pPr>
      <w:r>
        <w:t>Also</w:t>
      </w:r>
      <w:r w:rsidR="00C172AE" w:rsidRPr="008521EA">
        <w:t xml:space="preserve">, </w:t>
      </w:r>
      <w:r w:rsidR="000D1339">
        <w:t xml:space="preserve">the State party </w:t>
      </w:r>
      <w:r w:rsidRPr="002B0373">
        <w:rPr>
          <w:b/>
          <w:bCs/>
        </w:rPr>
        <w:t>still</w:t>
      </w:r>
      <w:r w:rsidRPr="002B0373">
        <w:rPr>
          <w:b/>
        </w:rPr>
        <w:t xml:space="preserve"> </w:t>
      </w:r>
      <w:r w:rsidR="000D1339" w:rsidRPr="002B0373">
        <w:rPr>
          <w:b/>
        </w:rPr>
        <w:t xml:space="preserve">refuses to </w:t>
      </w:r>
      <w:r w:rsidRPr="002B0373">
        <w:rPr>
          <w:b/>
        </w:rPr>
        <w:t xml:space="preserve">disaggregate </w:t>
      </w:r>
      <w:r w:rsidR="000D1339" w:rsidRPr="002B0373">
        <w:rPr>
          <w:b/>
        </w:rPr>
        <w:t xml:space="preserve">and disseminate </w:t>
      </w:r>
      <w:r w:rsidRPr="002B0373">
        <w:rPr>
          <w:b/>
        </w:rPr>
        <w:t>available</w:t>
      </w:r>
      <w:r w:rsidR="000D1339" w:rsidRPr="002B0373">
        <w:rPr>
          <w:b/>
        </w:rPr>
        <w:t xml:space="preserve"> data</w:t>
      </w:r>
      <w:r w:rsidR="000D1339">
        <w:t xml:space="preserve"> on IGM practices</w:t>
      </w:r>
      <w:r w:rsidR="00751563">
        <w:t xml:space="preserve"> (see also below p. </w:t>
      </w:r>
      <w:r w:rsidR="0090269B">
        <w:t>13</w:t>
      </w:r>
      <w:r w:rsidR="00751563">
        <w:t>)</w:t>
      </w:r>
      <w:r>
        <w:t xml:space="preserve">, and </w:t>
      </w:r>
      <w:r w:rsidR="00C172AE" w:rsidRPr="008521EA">
        <w:t xml:space="preserve">access to </w:t>
      </w:r>
      <w:r w:rsidR="00C172AE" w:rsidRPr="002B0373">
        <w:rPr>
          <w:b/>
        </w:rPr>
        <w:t>adequate psychosocial counselling and peer support</w:t>
      </w:r>
      <w:r w:rsidR="00C172AE" w:rsidRPr="00974053">
        <w:t xml:space="preserve"> </w:t>
      </w:r>
      <w:r w:rsidR="00974053" w:rsidRPr="00974053">
        <w:t>for intersex persons and their families</w:t>
      </w:r>
      <w:r w:rsidR="00974053">
        <w:t xml:space="preserve"> </w:t>
      </w:r>
      <w:r w:rsidRPr="002B0373">
        <w:rPr>
          <w:b/>
        </w:rPr>
        <w:t xml:space="preserve">still </w:t>
      </w:r>
      <w:r w:rsidR="00C172AE" w:rsidRPr="002B0373">
        <w:rPr>
          <w:b/>
        </w:rPr>
        <w:t>remains sorely lacking</w:t>
      </w:r>
      <w:r w:rsidR="00C172AE" w:rsidRPr="008521EA">
        <w:t>.</w:t>
      </w:r>
    </w:p>
    <w:p w14:paraId="11EF723B" w14:textId="50438555" w:rsidR="00550582" w:rsidRPr="0093535A" w:rsidRDefault="00550582" w:rsidP="0093535A">
      <w:pPr>
        <w:pStyle w:val="Title2"/>
        <w:rPr>
          <w:color w:val="232657"/>
          <w:w w:val="98"/>
          <w:sz w:val="22"/>
          <w:szCs w:val="22"/>
        </w:rPr>
      </w:pPr>
      <w:bookmarkStart w:id="51" w:name="_Toc11105540"/>
      <w:r w:rsidRPr="004218E0">
        <w:t xml:space="preserve">2.  </w:t>
      </w:r>
      <w:r w:rsidRPr="0093535A">
        <w:rPr>
          <w:w w:val="98"/>
        </w:rPr>
        <w:t xml:space="preserve">The Treatment of Intersex Children in </w:t>
      </w:r>
      <w:r w:rsidR="00D07577" w:rsidRPr="0093535A">
        <w:rPr>
          <w:w w:val="98"/>
        </w:rPr>
        <w:t>Austria</w:t>
      </w:r>
      <w:r w:rsidRPr="0093535A">
        <w:rPr>
          <w:w w:val="98"/>
        </w:rPr>
        <w:t xml:space="preserve"> as a Harmful Practice and Violence</w:t>
      </w:r>
      <w:bookmarkEnd w:id="51"/>
    </w:p>
    <w:p w14:paraId="29FDEBFF" w14:textId="77777777" w:rsidR="00550582" w:rsidRPr="007A18B3" w:rsidRDefault="00550582" w:rsidP="0093535A">
      <w:pPr>
        <w:pStyle w:val="Title3"/>
        <w:rPr>
          <w:rFonts w:eastAsia="Baskerville-SemiBold"/>
          <w:color w:val="000000"/>
        </w:rPr>
      </w:pPr>
      <w:bookmarkStart w:id="52" w:name="_Toc11105541"/>
      <w:r w:rsidRPr="007A18B3">
        <w:t>a) Harmful Practice (art. 5 and JGR No. 31)</w:t>
      </w:r>
      <w:r w:rsidRPr="007A18B3">
        <w:rPr>
          <w:rFonts w:eastAsia="Baskerville-SemiBold"/>
          <w:color w:val="000000"/>
        </w:rPr>
        <w:t xml:space="preserve"> </w:t>
      </w:r>
      <w:r w:rsidRPr="007A18B3">
        <w:rPr>
          <w:rStyle w:val="FootnoteReference"/>
          <w:rFonts w:ascii="Times New Roman" w:eastAsia="Baskerville" w:hAnsi="Times New Roman" w:cs="Times New Roman"/>
          <w:b w:val="0"/>
          <w:bCs w:val="0"/>
          <w:iCs w:val="0"/>
          <w:color w:val="000000"/>
        </w:rPr>
        <w:footnoteReference w:id="8"/>
      </w:r>
      <w:bookmarkEnd w:id="52"/>
    </w:p>
    <w:p w14:paraId="0D534FB6" w14:textId="77777777" w:rsidR="00550582" w:rsidRPr="007A18B3" w:rsidRDefault="00550582" w:rsidP="00442D12">
      <w:pPr>
        <w:pStyle w:val="absatzschattenbericht"/>
        <w:spacing w:after="113"/>
      </w:pPr>
      <w:r w:rsidRPr="007A18B3">
        <w:rPr>
          <w:rFonts w:eastAsia="Baskerville-SemiBold"/>
          <w:b/>
          <w:bCs/>
        </w:rPr>
        <w:t>Article 5 (a) CEDAW</w:t>
      </w:r>
      <w:r w:rsidRPr="007A18B3">
        <w:t xml:space="preserve"> calls on states to eliminate harmful </w:t>
      </w:r>
      <w:r w:rsidRPr="008C1D44">
        <w:rPr>
          <w:i/>
        </w:rPr>
        <w:t>“prejudices and customary and all other practices which are based on the idea of the inferiority or the superiority of either of the sexes or on stereotyped roles for men and women”.</w:t>
      </w:r>
      <w:r w:rsidRPr="007A18B3">
        <w:t xml:space="preserve"> While the initial point of reference for the term was the example of Female Genital Mutilation/Cutting (FGM/C), the term consciously wasn’t limited to FGM/C, but meant to include all forms of harmful, violent, and/or invasive traditional or customary practices.</w:t>
      </w:r>
      <w:r w:rsidRPr="007A18B3">
        <w:rPr>
          <w:rStyle w:val="FootnoteReference"/>
          <w:rFonts w:cs="Times New Roman"/>
        </w:rPr>
        <w:footnoteReference w:id="9"/>
      </w:r>
      <w:r w:rsidRPr="007A18B3">
        <w:rPr>
          <w:rStyle w:val="FootnoteReference"/>
          <w:rFonts w:cs="Times New Roman"/>
        </w:rPr>
        <w:t xml:space="preserve"> </w:t>
      </w:r>
    </w:p>
    <w:p w14:paraId="7F1865D8" w14:textId="67CCFB62" w:rsidR="00A71D05" w:rsidRDefault="00550582" w:rsidP="00CE680A">
      <w:pPr>
        <w:pStyle w:val="absatzschattenbericht"/>
      </w:pPr>
      <w:r w:rsidRPr="0009169E">
        <w:t xml:space="preserve">The Committee has repeatedly considered IGM as a </w:t>
      </w:r>
      <w:r w:rsidRPr="007A18B3">
        <w:rPr>
          <w:b/>
          <w:bCs/>
        </w:rPr>
        <w:t>harmful practice</w:t>
      </w:r>
      <w:r w:rsidRPr="0009169E">
        <w:t xml:space="preserve">, and the </w:t>
      </w:r>
      <w:r w:rsidRPr="007A18B3">
        <w:rPr>
          <w:b/>
          <w:bCs/>
        </w:rPr>
        <w:t>CEDAW/CRC Joint general recommendation No. 31/18</w:t>
      </w:r>
      <w:r w:rsidRPr="0009169E">
        <w:t xml:space="preserve"> on harmful practices as applicable.</w:t>
      </w:r>
      <w:r w:rsidRPr="00A23F1D">
        <w:rPr>
          <w:rStyle w:val="FootnoteReference"/>
          <w:rFonts w:cs="Times New Roman"/>
        </w:rPr>
        <w:footnoteReference w:id="10"/>
      </w:r>
      <w:r w:rsidRPr="0009169E">
        <w:t xml:space="preserve"> </w:t>
      </w:r>
    </w:p>
    <w:p w14:paraId="3DD4D0DE" w14:textId="77777777" w:rsidR="008C1D44" w:rsidRDefault="008C1D44" w:rsidP="00CE680A">
      <w:pPr>
        <w:pStyle w:val="absatzschattenbericht"/>
      </w:pPr>
    </w:p>
    <w:p w14:paraId="4F0AC405" w14:textId="77777777" w:rsidR="00550582" w:rsidRPr="0009169E" w:rsidRDefault="00550582" w:rsidP="00442D12">
      <w:pPr>
        <w:pStyle w:val="absatzschattenbericht"/>
        <w:spacing w:after="113"/>
      </w:pPr>
      <w:r w:rsidRPr="0009169E">
        <w:t xml:space="preserve">Harmful practices (and inhuman treatment) have been identified by intersex advocates as the </w:t>
      </w:r>
      <w:r w:rsidRPr="0009169E">
        <w:rPr>
          <w:rFonts w:eastAsia="Baskerville-SemiBold"/>
          <w:b/>
          <w:bCs/>
        </w:rPr>
        <w:t>most effective, well established and applicable human rights frameworks</w:t>
      </w:r>
      <w:r w:rsidRPr="0009169E">
        <w:t xml:space="preserve"> to eliminate IGM practices and to end the impunity of the perpetrators.</w:t>
      </w:r>
      <w:r w:rsidRPr="00442D12">
        <w:rPr>
          <w:rStyle w:val="FootnoteReference"/>
          <w:rFonts w:cs="Times New Roman"/>
        </w:rPr>
        <w:footnoteReference w:id="11"/>
      </w:r>
    </w:p>
    <w:p w14:paraId="6B0EE302" w14:textId="77777777" w:rsidR="00550582" w:rsidRPr="0009169E" w:rsidRDefault="00550582" w:rsidP="00442D12">
      <w:pPr>
        <w:pStyle w:val="absatzschattenbericht"/>
        <w:spacing w:after="113"/>
      </w:pPr>
      <w:r w:rsidRPr="0009169E">
        <w:t xml:space="preserve">The </w:t>
      </w:r>
      <w:r w:rsidRPr="0009169E">
        <w:rPr>
          <w:rFonts w:eastAsia="Baskerville-SemiBold"/>
          <w:b/>
          <w:bCs/>
        </w:rPr>
        <w:t xml:space="preserve">Joint </w:t>
      </w:r>
      <w:r>
        <w:rPr>
          <w:rFonts w:eastAsia="Baskerville-SemiBold"/>
          <w:b/>
          <w:bCs/>
        </w:rPr>
        <w:t xml:space="preserve">general recommendation </w:t>
      </w:r>
      <w:r w:rsidRPr="0009169E">
        <w:rPr>
          <w:rFonts w:eastAsia="Baskerville-SemiBold"/>
          <w:b/>
          <w:bCs/>
        </w:rPr>
        <w:t xml:space="preserve">No. </w:t>
      </w:r>
      <w:r>
        <w:rPr>
          <w:rFonts w:eastAsia="Baskerville-SemiBold"/>
          <w:b/>
          <w:bCs/>
        </w:rPr>
        <w:t>31</w:t>
      </w:r>
      <w:r w:rsidRPr="0009169E">
        <w:rPr>
          <w:rFonts w:eastAsia="Baskerville-SemiBold"/>
          <w:b/>
          <w:bCs/>
        </w:rPr>
        <w:t xml:space="preserve"> “on harmful practices”</w:t>
      </w:r>
      <w:r w:rsidRPr="0009169E">
        <w:t xml:space="preserve"> </w:t>
      </w:r>
      <w:r w:rsidRPr="007A18B3">
        <w:t xml:space="preserve">“call[s] upon States parties to </w:t>
      </w:r>
      <w:r w:rsidRPr="007A18B3">
        <w:rPr>
          <w:rFonts w:eastAsia="Baskerville-SemiBoldItalic"/>
          <w:b/>
          <w:bCs/>
        </w:rPr>
        <w:t>explicitly prohibit by law and adequately sanction or criminalize</w:t>
      </w:r>
      <w:r w:rsidRPr="007A18B3">
        <w:t xml:space="preserve"> harmful practices, in accordance with the gravity of the offence and harm caused, provide for means of prevention, protection, recovery, </w:t>
      </w:r>
      <w:r w:rsidRPr="007A18B3">
        <w:rPr>
          <w:rFonts w:eastAsia="Baskerville-SemiBoldItalic"/>
          <w:b/>
          <w:bCs/>
        </w:rPr>
        <w:t>reintegration and redress for victims</w:t>
      </w:r>
      <w:r w:rsidRPr="007A18B3">
        <w:t xml:space="preserve"> and </w:t>
      </w:r>
      <w:r w:rsidRPr="007A18B3">
        <w:rPr>
          <w:rFonts w:eastAsia="Baskerville-SemiBoldItalic"/>
          <w:b/>
          <w:bCs/>
        </w:rPr>
        <w:t>combat impunity</w:t>
      </w:r>
      <w:r w:rsidRPr="007A18B3">
        <w:t xml:space="preserve"> for harmful practices”</w:t>
      </w:r>
      <w:r w:rsidRPr="0009169E">
        <w:t xml:space="preserve"> (para 13). </w:t>
      </w:r>
    </w:p>
    <w:p w14:paraId="3527B2D9" w14:textId="77777777" w:rsidR="00550582" w:rsidRPr="0009169E" w:rsidRDefault="00550582" w:rsidP="00CE680A">
      <w:pPr>
        <w:pStyle w:val="absatzschattenbericht"/>
        <w:rPr>
          <w:rFonts w:eastAsia="Baskerville-Italic"/>
        </w:rPr>
      </w:pPr>
      <w:r>
        <w:t xml:space="preserve">Particularly, the Joint general recommendation </w:t>
      </w:r>
      <w:r w:rsidRPr="0009169E">
        <w:t xml:space="preserve">further underlines the need for a </w:t>
      </w:r>
      <w:r w:rsidRPr="007A18B3">
        <w:rPr>
          <w:rFonts w:eastAsia="Baskerville-SemiBoldItalic"/>
          <w:b/>
          <w:bCs/>
        </w:rPr>
        <w:t>“Holistic framework</w:t>
      </w:r>
      <w:r w:rsidRPr="007A18B3">
        <w:rPr>
          <w:rFonts w:eastAsia="Baskerville-Italic"/>
        </w:rPr>
        <w:t xml:space="preserve"> for addressing harmful practices”</w:t>
      </w:r>
      <w:r w:rsidRPr="0009169E">
        <w:t xml:space="preserve"> (paras 31–36), including </w:t>
      </w:r>
      <w:r w:rsidRPr="007A18B3">
        <w:rPr>
          <w:rFonts w:eastAsia="Baskerville-SemiBoldItalic"/>
          <w:b/>
          <w:bCs/>
        </w:rPr>
        <w:t>“legislative, policy and other appropriate measures</w:t>
      </w:r>
      <w:r w:rsidRPr="007A18B3">
        <w:rPr>
          <w:rFonts w:eastAsia="Baskerville-Italic"/>
        </w:rPr>
        <w:t xml:space="preserve"> that must be taken to ensure full compliance with [state parties’] obligations under the Conventions to eliminate harmful practices”</w:t>
      </w:r>
      <w:r w:rsidRPr="00612231">
        <w:t xml:space="preserve"> </w:t>
      </w:r>
      <w:r w:rsidRPr="0009169E">
        <w:t xml:space="preserve">(para 2), as well as </w:t>
      </w:r>
    </w:p>
    <w:p w14:paraId="4F04F0B2" w14:textId="77777777" w:rsidR="00550582" w:rsidRPr="0009169E" w:rsidRDefault="00550582" w:rsidP="00CE680A">
      <w:pPr>
        <w:pStyle w:val="absatzschattenbericht"/>
        <w:numPr>
          <w:ilvl w:val="0"/>
          <w:numId w:val="26"/>
        </w:numPr>
      </w:pPr>
      <w:r w:rsidRPr="00442D12">
        <w:rPr>
          <w:i/>
        </w:rPr>
        <w:t>“Data collection and monitoring”</w:t>
      </w:r>
      <w:r w:rsidRPr="0009169E">
        <w:t xml:space="preserve"> (paras 37–39)</w:t>
      </w:r>
    </w:p>
    <w:p w14:paraId="0B92A98B" w14:textId="77777777" w:rsidR="00550582" w:rsidRPr="0009169E" w:rsidRDefault="00550582" w:rsidP="00CE680A">
      <w:pPr>
        <w:pStyle w:val="absatzschattenbericht"/>
        <w:numPr>
          <w:ilvl w:val="0"/>
          <w:numId w:val="26"/>
        </w:numPr>
      </w:pPr>
      <w:r w:rsidRPr="00442D12">
        <w:rPr>
          <w:i/>
        </w:rPr>
        <w:t>“Legislation and its enforcement”</w:t>
      </w:r>
      <w:r w:rsidRPr="0009169E">
        <w:t xml:space="preserve"> (paras 40–55), particularly: </w:t>
      </w:r>
    </w:p>
    <w:p w14:paraId="147EFAE9" w14:textId="77777777" w:rsidR="00550582" w:rsidRPr="0009169E" w:rsidRDefault="00550582" w:rsidP="00CE680A">
      <w:pPr>
        <w:pStyle w:val="absatzschattenbericht"/>
        <w:numPr>
          <w:ilvl w:val="0"/>
          <w:numId w:val="26"/>
        </w:numPr>
        <w:rPr>
          <w:rFonts w:eastAsia="Baskerville-Italic"/>
        </w:rPr>
      </w:pPr>
      <w:r w:rsidRPr="00442D12">
        <w:rPr>
          <w:rFonts w:eastAsia="Baskerville-Italic"/>
          <w:i/>
        </w:rPr>
        <w:t>“</w:t>
      </w:r>
      <w:r w:rsidRPr="00442D12">
        <w:rPr>
          <w:i/>
        </w:rPr>
        <w:t>adequate civil and/or administrative legislative provisions”</w:t>
      </w:r>
      <w:r w:rsidRPr="0009169E">
        <w:t xml:space="preserve"> (para 55 (d)) </w:t>
      </w:r>
    </w:p>
    <w:p w14:paraId="666C8612" w14:textId="77777777" w:rsidR="00550582" w:rsidRPr="0009169E" w:rsidRDefault="00550582" w:rsidP="00CE680A">
      <w:pPr>
        <w:pStyle w:val="absatzschattenbericht"/>
        <w:numPr>
          <w:ilvl w:val="0"/>
          <w:numId w:val="26"/>
        </w:numPr>
        <w:rPr>
          <w:rFonts w:eastAsia="Baskerville-SemiBoldItalic"/>
          <w:b/>
          <w:bCs/>
          <w:w w:val="99"/>
        </w:rPr>
      </w:pPr>
      <w:r w:rsidRPr="00442D12">
        <w:rPr>
          <w:i/>
        </w:rPr>
        <w:lastRenderedPageBreak/>
        <w:t xml:space="preserve">“provisions on </w:t>
      </w:r>
      <w:r w:rsidRPr="00442D12">
        <w:rPr>
          <w:rFonts w:eastAsia="Baskerville-SemiBoldItalic"/>
          <w:b/>
          <w:bCs/>
          <w:i/>
        </w:rPr>
        <w:t>regular evaluation and monitoring</w:t>
      </w:r>
      <w:r w:rsidRPr="00442D12">
        <w:rPr>
          <w:i/>
        </w:rPr>
        <w:t>, including in relation to implementation, enforcement and follow-up”</w:t>
      </w:r>
      <w:r w:rsidRPr="00F6699F">
        <w:t xml:space="preserve"> </w:t>
      </w:r>
      <w:r w:rsidRPr="0009169E">
        <w:t xml:space="preserve">(para 55 (n)) </w:t>
      </w:r>
    </w:p>
    <w:p w14:paraId="6C60610A" w14:textId="77777777" w:rsidR="00550582" w:rsidRPr="00612231" w:rsidRDefault="00550582" w:rsidP="00CE680A">
      <w:pPr>
        <w:pStyle w:val="absatzschattenbericht"/>
        <w:numPr>
          <w:ilvl w:val="0"/>
          <w:numId w:val="26"/>
        </w:numPr>
        <w:rPr>
          <w:rFonts w:eastAsia="Baskerville-Italic"/>
        </w:rPr>
      </w:pPr>
      <w:r w:rsidRPr="00442D12">
        <w:rPr>
          <w:b/>
          <w:i/>
        </w:rPr>
        <w:t>“equal access to justice,</w:t>
      </w:r>
      <w:r w:rsidRPr="00442D12">
        <w:rPr>
          <w:rFonts w:eastAsia="Baskerville-Italic"/>
          <w:i/>
        </w:rPr>
        <w:t xml:space="preserve"> including by </w:t>
      </w:r>
      <w:r w:rsidRPr="00442D12">
        <w:rPr>
          <w:b/>
          <w:i/>
        </w:rPr>
        <w:t>addressing legal and practical barriers to initiating legal proceedings, such as the limitation period</w:t>
      </w:r>
      <w:r w:rsidRPr="00442D12">
        <w:rPr>
          <w:i/>
        </w:rPr>
        <w:t>,</w:t>
      </w:r>
      <w:r w:rsidRPr="00442D12">
        <w:rPr>
          <w:rFonts w:eastAsia="Baskerville-Italic"/>
          <w:i/>
        </w:rPr>
        <w:t xml:space="preserve"> and that the </w:t>
      </w:r>
      <w:r w:rsidRPr="00442D12">
        <w:rPr>
          <w:b/>
          <w:i/>
        </w:rPr>
        <w:t>perpetrators and those who aid or condone such practices are held accountable”</w:t>
      </w:r>
      <w:r w:rsidRPr="00442D12">
        <w:rPr>
          <w:i/>
        </w:rPr>
        <w:t xml:space="preserve"> </w:t>
      </w:r>
      <w:r w:rsidRPr="00612231">
        <w:t>(para 55 (o))</w:t>
      </w:r>
    </w:p>
    <w:p w14:paraId="4877AA2E" w14:textId="77777777" w:rsidR="00550582" w:rsidRPr="0009169E" w:rsidRDefault="00550582" w:rsidP="00442D12">
      <w:pPr>
        <w:pStyle w:val="absatzschattenbericht"/>
        <w:numPr>
          <w:ilvl w:val="0"/>
          <w:numId w:val="26"/>
        </w:numPr>
        <w:spacing w:after="113"/>
        <w:ind w:left="714" w:hanging="357"/>
      </w:pPr>
      <w:r w:rsidRPr="00442D12">
        <w:rPr>
          <w:rFonts w:eastAsia="Baskerville-Italic"/>
          <w:i/>
        </w:rPr>
        <w:t xml:space="preserve">“equal access to </w:t>
      </w:r>
      <w:r w:rsidRPr="00442D12">
        <w:rPr>
          <w:b/>
          <w:bCs/>
          <w:i/>
        </w:rPr>
        <w:t>legal remedies and appropriate reparations</w:t>
      </w:r>
      <w:r w:rsidRPr="00442D12">
        <w:rPr>
          <w:rFonts w:eastAsia="Baskerville-Italic"/>
          <w:i/>
        </w:rPr>
        <w:t xml:space="preserve"> in practice”</w:t>
      </w:r>
      <w:r w:rsidRPr="00612231">
        <w:t xml:space="preserve"> </w:t>
      </w:r>
      <w:r w:rsidRPr="0009169E">
        <w:t>(para 55 (q)).</w:t>
      </w:r>
    </w:p>
    <w:p w14:paraId="31C86FC4" w14:textId="77777777" w:rsidR="00550582" w:rsidRPr="0009169E" w:rsidRDefault="00550582" w:rsidP="00442D12">
      <w:pPr>
        <w:pStyle w:val="absatzschattenbericht"/>
        <w:spacing w:after="113"/>
      </w:pPr>
      <w:r w:rsidRPr="0009169E">
        <w:t>Last b</w:t>
      </w:r>
      <w:r>
        <w:t xml:space="preserve">ut not least, the Joint general recommendation </w:t>
      </w:r>
      <w:r w:rsidRPr="0009169E">
        <w:t xml:space="preserve">explicitly stipulates: </w:t>
      </w:r>
      <w:r w:rsidRPr="001C5302">
        <w:t xml:space="preserve">“Where </w:t>
      </w:r>
      <w:r w:rsidRPr="001C5302">
        <w:rPr>
          <w:rFonts w:eastAsia="Baskerville-SemiBoldItalic"/>
          <w:b/>
          <w:bCs/>
        </w:rPr>
        <w:t xml:space="preserve">medical professionals </w:t>
      </w:r>
      <w:r w:rsidRPr="001C5302">
        <w:t>or government employees or civil servants</w:t>
      </w:r>
      <w:r w:rsidRPr="001C5302">
        <w:rPr>
          <w:rFonts w:eastAsia="Baskerville-SemiBoldItalic"/>
          <w:b/>
          <w:bCs/>
        </w:rPr>
        <w:t xml:space="preserve"> are involved or complicit in carrying out harmful practices,</w:t>
      </w:r>
      <w:r w:rsidRPr="001C5302">
        <w:t xml:space="preserve"> their status and responsibility, including to report, should be seen as an </w:t>
      </w:r>
      <w:r w:rsidRPr="001C5302">
        <w:rPr>
          <w:rFonts w:eastAsia="Baskerville-SemiBoldItalic"/>
          <w:b/>
          <w:bCs/>
        </w:rPr>
        <w:t>aggravating circumstance in the determination of criminal sanctions or administrative sanctions such as loss of a professional licence or termination of contract,</w:t>
      </w:r>
      <w:r w:rsidRPr="001C5302">
        <w:t xml:space="preserve"> which should be preceded by the issuance of warnings. </w:t>
      </w:r>
      <w:r w:rsidRPr="001C5302">
        <w:rPr>
          <w:rFonts w:eastAsia="Baskerville-SemiBoldItalic"/>
          <w:b/>
          <w:bCs/>
        </w:rPr>
        <w:t>Systematic training</w:t>
      </w:r>
      <w:r w:rsidRPr="001C5302">
        <w:t xml:space="preserve"> for relevant professionals is considered to be an effective preventive measure in this regard.”</w:t>
      </w:r>
      <w:r w:rsidRPr="00612231">
        <w:t xml:space="preserve"> </w:t>
      </w:r>
      <w:r w:rsidRPr="0009169E">
        <w:t>(para 50)</w:t>
      </w:r>
    </w:p>
    <w:p w14:paraId="71748FDC" w14:textId="733456B2" w:rsidR="00550582" w:rsidRDefault="00550582" w:rsidP="00CE680A">
      <w:pPr>
        <w:pStyle w:val="absatzschattenbericht"/>
      </w:pPr>
      <w:r w:rsidRPr="000457A1">
        <w:t xml:space="preserve">Thus, </w:t>
      </w:r>
      <w:r w:rsidRPr="000457A1">
        <w:rPr>
          <w:rFonts w:eastAsia="Baskerville-Bold"/>
          <w:b/>
          <w:bCs/>
        </w:rPr>
        <w:t xml:space="preserve">IGM practices in </w:t>
      </w:r>
      <w:r w:rsidR="00690EED">
        <w:rPr>
          <w:rFonts w:eastAsia="Baskerville-Bold"/>
          <w:b/>
          <w:bCs/>
        </w:rPr>
        <w:t>Austria</w:t>
      </w:r>
      <w:r w:rsidRPr="000457A1">
        <w:t xml:space="preserve"> – as well as the </w:t>
      </w:r>
      <w:r w:rsidRPr="000457A1">
        <w:rPr>
          <w:rFonts w:eastAsia="Baskerville-SemiBold"/>
        </w:rPr>
        <w:t>failure of the state party to enact effective legislative, administrative, social and educational measures</w:t>
      </w:r>
      <w:r w:rsidRPr="000457A1">
        <w:t xml:space="preserve"> to eliminate them and to ensure effective access to remedies and redress – </w:t>
      </w:r>
      <w:r w:rsidRPr="000457A1">
        <w:rPr>
          <w:b/>
          <w:bCs/>
        </w:rPr>
        <w:t>clearly violate Article 5 CEDAW</w:t>
      </w:r>
      <w:r w:rsidRPr="000457A1">
        <w:t xml:space="preserve">, as well as the </w:t>
      </w:r>
      <w:r w:rsidRPr="000457A1">
        <w:rPr>
          <w:b/>
          <w:bCs/>
        </w:rPr>
        <w:t>CEDAW/CRC Joint general recommendation No. 31/18</w:t>
      </w:r>
      <w:r w:rsidRPr="000457A1">
        <w:t xml:space="preserve"> on harmful practices.</w:t>
      </w:r>
    </w:p>
    <w:p w14:paraId="605373F3" w14:textId="77777777" w:rsidR="00A71D05" w:rsidRDefault="00A71D05">
      <w:pPr>
        <w:widowControl/>
        <w:suppressAutoHyphens w:val="0"/>
        <w:textAlignment w:val="auto"/>
        <w:rPr>
          <w:rFonts w:ascii="Arial" w:eastAsia="Helvetica-Bold" w:hAnsi="Arial" w:cs="Arial"/>
          <w:b/>
          <w:bCs/>
          <w:iCs/>
          <w:color w:val="232657"/>
          <w:spacing w:val="2"/>
          <w:kern w:val="24"/>
          <w:lang w:val="en-GB"/>
        </w:rPr>
      </w:pPr>
      <w:bookmarkStart w:id="53" w:name="_Toc453620712"/>
      <w:bookmarkStart w:id="54" w:name="_Toc11105542"/>
      <w:r w:rsidRPr="00A71D05">
        <w:rPr>
          <w:lang w:val="en-US"/>
        </w:rPr>
        <w:br w:type="page"/>
      </w:r>
    </w:p>
    <w:p w14:paraId="1FBFED13" w14:textId="66081D28" w:rsidR="00550582" w:rsidRPr="00C73ECD" w:rsidRDefault="00550582" w:rsidP="0093535A">
      <w:pPr>
        <w:pStyle w:val="Title3"/>
      </w:pPr>
      <w:r w:rsidRPr="00C73ECD">
        <w:lastRenderedPageBreak/>
        <w:t xml:space="preserve">b) </w:t>
      </w:r>
      <w:r w:rsidR="00450F68">
        <w:t>Violence (arts.</w:t>
      </w:r>
      <w:r w:rsidRPr="00C73ECD">
        <w:t xml:space="preserve"> 1</w:t>
      </w:r>
      <w:r w:rsidR="00BF360A">
        <w:t xml:space="preserve"> and 2</w:t>
      </w:r>
      <w:r w:rsidRPr="00C73ECD">
        <w:t xml:space="preserve"> in conjunction with General recommendation No. </w:t>
      </w:r>
      <w:bookmarkEnd w:id="53"/>
      <w:r>
        <w:t>35</w:t>
      </w:r>
      <w:r w:rsidR="00450F68">
        <w:t>)</w:t>
      </w:r>
      <w:bookmarkEnd w:id="54"/>
    </w:p>
    <w:p w14:paraId="20F6B903" w14:textId="5F0BC9B0" w:rsidR="00550582" w:rsidRPr="00354869" w:rsidRDefault="00550582" w:rsidP="007B4A76">
      <w:pPr>
        <w:pStyle w:val="absatzschattenbericht"/>
        <w:spacing w:after="113"/>
        <w:rPr>
          <w:i/>
          <w:iCs/>
        </w:rPr>
      </w:pPr>
      <w:r>
        <w:t xml:space="preserve">In addition, due to their nature, IGM practices clearly also constitute a form of </w:t>
      </w:r>
      <w:r>
        <w:rPr>
          <w:b/>
          <w:bCs/>
        </w:rPr>
        <w:t>gender-based violence</w:t>
      </w:r>
      <w:r>
        <w:t>, and thus also article</w:t>
      </w:r>
      <w:r w:rsidR="00BF360A">
        <w:t>s</w:t>
      </w:r>
      <w:r>
        <w:t xml:space="preserve"> 1</w:t>
      </w:r>
      <w:r w:rsidR="00BF360A">
        <w:t xml:space="preserve"> and 2</w:t>
      </w:r>
      <w:r>
        <w:t xml:space="preserve"> of the convention in conjunction with the Committee’s </w:t>
      </w:r>
      <w:r>
        <w:rPr>
          <w:b/>
          <w:bCs/>
        </w:rPr>
        <w:t>General recommendation No. 35</w:t>
      </w:r>
      <w:r>
        <w:t xml:space="preserve"> </w:t>
      </w:r>
      <w:r w:rsidR="00450F68">
        <w:t>may apply</w:t>
      </w:r>
      <w:r>
        <w:t xml:space="preserve">, which further underline the right to life (paras 15, 31(a)(ii)) and the right to protection from </w:t>
      </w:r>
      <w:r w:rsidR="008D3191">
        <w:t xml:space="preserve">inhuman </w:t>
      </w:r>
      <w:r>
        <w:t>treatment (CIDT) (paras 15-17).</w:t>
      </w:r>
    </w:p>
    <w:p w14:paraId="34246A07" w14:textId="3EB67A03" w:rsidR="00550582" w:rsidRPr="00354869" w:rsidRDefault="00550582" w:rsidP="007B4A76">
      <w:pPr>
        <w:pStyle w:val="absatzschattenbericht"/>
        <w:spacing w:after="113"/>
        <w:rPr>
          <w:i/>
          <w:iCs/>
        </w:rPr>
      </w:pPr>
      <w:r>
        <w:t>R</w:t>
      </w:r>
      <w:r w:rsidR="008D3191">
        <w:t xml:space="preserve">egarding inhuman </w:t>
      </w:r>
      <w:r>
        <w:t>treatment (GR 35 paras 15-17), since 2011 the Committee against Torture (</w:t>
      </w:r>
      <w:r>
        <w:rPr>
          <w:b/>
          <w:bCs/>
        </w:rPr>
        <w:t>CAT</w:t>
      </w:r>
      <w:r>
        <w:t xml:space="preserve">) has repeatedly examined IGM practices, and considered them as </w:t>
      </w:r>
      <w:r w:rsidRPr="004F00EB">
        <w:t xml:space="preserve">constituting </w:t>
      </w:r>
      <w:r w:rsidR="008D3191" w:rsidRPr="004F00EB">
        <w:t>at least</w:t>
      </w:r>
      <w:r w:rsidR="008D3191">
        <w:rPr>
          <w:b/>
          <w:bCs/>
        </w:rPr>
        <w:t xml:space="preserve"> inhuman </w:t>
      </w:r>
      <w:r>
        <w:rPr>
          <w:b/>
          <w:bCs/>
        </w:rPr>
        <w:t>treatment</w:t>
      </w:r>
      <w:r w:rsidR="004F00EB">
        <w:t>,</w:t>
      </w:r>
      <w:r w:rsidRPr="006A7D3C">
        <w:rPr>
          <w:rStyle w:val="Funotenzeichen1"/>
        </w:rPr>
        <w:footnoteReference w:id="12"/>
      </w:r>
      <w:r w:rsidR="004F00EB">
        <w:t xml:space="preserve"> including in its latest </w:t>
      </w:r>
      <w:r w:rsidR="004F00EB" w:rsidRPr="004F00EB">
        <w:rPr>
          <w:b/>
          <w:bCs/>
        </w:rPr>
        <w:t>Concluding Observations for Austria</w:t>
      </w:r>
      <w:r w:rsidR="004F00EB">
        <w:t xml:space="preserve"> (</w:t>
      </w:r>
      <w:r w:rsidR="004F00EB" w:rsidRPr="004F00EB">
        <w:t>CAT/C/AUT/CO/6, paras 44–45</w:t>
      </w:r>
      <w:r w:rsidR="004F00EB">
        <w:t>).</w:t>
      </w:r>
    </w:p>
    <w:p w14:paraId="29702BF7" w14:textId="725EF94B" w:rsidR="005B0AF0" w:rsidRPr="007B4A76" w:rsidRDefault="00BF360A" w:rsidP="007B4A76">
      <w:pPr>
        <w:pStyle w:val="absatzschattenbericht"/>
        <w:spacing w:after="113"/>
        <w:rPr>
          <w:b/>
        </w:rPr>
      </w:pPr>
      <w:r w:rsidRPr="007B4A76">
        <w:rPr>
          <w:b/>
        </w:rPr>
        <w:t>Thus, articles</w:t>
      </w:r>
      <w:r w:rsidR="00550582" w:rsidRPr="007B4A76">
        <w:rPr>
          <w:b/>
        </w:rPr>
        <w:t xml:space="preserve"> 1 </w:t>
      </w:r>
      <w:r w:rsidRPr="007B4A76">
        <w:rPr>
          <w:b/>
        </w:rPr>
        <w:t xml:space="preserve">and 2 </w:t>
      </w:r>
      <w:r w:rsidR="00550582" w:rsidRPr="007B4A76">
        <w:rPr>
          <w:b/>
        </w:rPr>
        <w:t xml:space="preserve">CEDAW in conjunction with GR 35 </w:t>
      </w:r>
      <w:r w:rsidR="007E03EE" w:rsidRPr="007B4A76">
        <w:rPr>
          <w:b/>
        </w:rPr>
        <w:t>may also apply</w:t>
      </w:r>
      <w:r w:rsidR="00550582" w:rsidRPr="007B4A76">
        <w:rPr>
          <w:b/>
        </w:rPr>
        <w:t>.</w:t>
      </w:r>
    </w:p>
    <w:p w14:paraId="0746DB9A" w14:textId="6EE59D92" w:rsidR="009F6FE4" w:rsidRDefault="009F6FE4" w:rsidP="0093535A">
      <w:pPr>
        <w:pStyle w:val="Title2"/>
      </w:pPr>
      <w:bookmarkStart w:id="55" w:name="_Toc11105543"/>
      <w:r>
        <w:t>3.  Lack of Legislative Provisions to Ensure Protection from IGM Practices,</w:t>
      </w:r>
      <w:r>
        <w:br/>
        <w:t xml:space="preserve">   </w:t>
      </w:r>
      <w:r w:rsidR="00C372F6">
        <w:t xml:space="preserve"> </w:t>
      </w:r>
      <w:r>
        <w:t xml:space="preserve"> Impunity of the Perpetrators (art. 5 and JGR No. 31; art. 2 and GR No. 35)</w:t>
      </w:r>
      <w:bookmarkEnd w:id="55"/>
    </w:p>
    <w:p w14:paraId="1DBEC119" w14:textId="77777777" w:rsidR="009F6FE4" w:rsidRPr="0009169E" w:rsidRDefault="009F6FE4" w:rsidP="007B4A76">
      <w:pPr>
        <w:pStyle w:val="absatzschattenbericht"/>
        <w:spacing w:after="113"/>
      </w:pPr>
      <w:r>
        <w:t>Article 5</w:t>
      </w:r>
      <w:r w:rsidRPr="0009169E">
        <w:t xml:space="preserve"> of the Convention in conjunction with the </w:t>
      </w:r>
      <w:r>
        <w:t>CEDAW/CRC</w:t>
      </w:r>
      <w:r w:rsidRPr="0009169E">
        <w:t xml:space="preserve"> Joint general </w:t>
      </w:r>
      <w:r>
        <w:t xml:space="preserve">recommendation No. </w:t>
      </w:r>
      <w:r w:rsidRPr="0009169E">
        <w:t>31</w:t>
      </w:r>
      <w:r>
        <w:t>/18</w:t>
      </w:r>
      <w:r w:rsidRPr="0009169E">
        <w:t xml:space="preserve"> “on harmful practices” (2014) underline state parties’ obligations to </w:t>
      </w:r>
      <w:r w:rsidRPr="0009169E">
        <w:rPr>
          <w:rFonts w:eastAsia="Baskerville-SemiBoldItalic"/>
          <w:b/>
          <w:bCs/>
          <w:i/>
          <w:iCs/>
        </w:rPr>
        <w:t>“explicitly prohibit by law and adequately sanction or criminalize</w:t>
      </w:r>
      <w:r w:rsidRPr="0009169E">
        <w:rPr>
          <w:rFonts w:eastAsia="Baskerville-Italic"/>
          <w:i/>
          <w:iCs/>
        </w:rPr>
        <w:t xml:space="preserve"> harmful practices” </w:t>
      </w:r>
      <w:r w:rsidRPr="0009169E">
        <w:t>(</w:t>
      </w:r>
      <w:r>
        <w:t xml:space="preserve">JGR </w:t>
      </w:r>
      <w:r w:rsidRPr="0009169E">
        <w:t>31</w:t>
      </w:r>
      <w:r>
        <w:t>/18</w:t>
      </w:r>
      <w:r w:rsidRPr="0009169E">
        <w:t xml:space="preserve">, para 13), as well as to </w:t>
      </w:r>
      <w:r w:rsidRPr="0009169E">
        <w:rPr>
          <w:rFonts w:eastAsia="Baskerville-SemiBoldItalic"/>
          <w:b/>
          <w:bCs/>
          <w:i/>
          <w:iCs/>
        </w:rPr>
        <w:t>“adopt or amend legislation</w:t>
      </w:r>
      <w:r w:rsidRPr="0009169E">
        <w:rPr>
          <w:rFonts w:eastAsia="Baskerville-Italic"/>
          <w:i/>
          <w:iCs/>
        </w:rPr>
        <w:t xml:space="preserve"> with a view to effectively addressing and eliminating harmful practices”</w:t>
      </w:r>
      <w:r>
        <w:t xml:space="preserve"> (JGR 31/18</w:t>
      </w:r>
      <w:r w:rsidRPr="0009169E">
        <w:t xml:space="preserve">, para </w:t>
      </w:r>
      <w:r w:rsidRPr="0009169E">
        <w:lastRenderedPageBreak/>
        <w:t xml:space="preserve">55), and specifically to ensure </w:t>
      </w:r>
      <w:r w:rsidRPr="0009169E">
        <w:rPr>
          <w:rFonts w:eastAsia="Baskerville-Italic"/>
          <w:i/>
          <w:iCs/>
        </w:rPr>
        <w:t xml:space="preserve">“that the </w:t>
      </w:r>
      <w:r w:rsidRPr="0009169E">
        <w:rPr>
          <w:rFonts w:eastAsia="Baskerville-SemiBoldItalic"/>
          <w:b/>
          <w:bCs/>
          <w:i/>
          <w:iCs/>
        </w:rPr>
        <w:t xml:space="preserve">perpetrators and those who aid or condone such practices are held accountable” </w:t>
      </w:r>
      <w:r>
        <w:t xml:space="preserve">(JGR </w:t>
      </w:r>
      <w:r w:rsidRPr="0009169E">
        <w:t>31</w:t>
      </w:r>
      <w:r>
        <w:t>/18</w:t>
      </w:r>
      <w:r w:rsidRPr="0009169E">
        <w:t>, para 55 (o)).</w:t>
      </w:r>
    </w:p>
    <w:p w14:paraId="73104B5C" w14:textId="2FF1D630" w:rsidR="009F6FE4" w:rsidRPr="009F6FE4" w:rsidRDefault="009F6FE4" w:rsidP="00CE680A">
      <w:pPr>
        <w:pStyle w:val="absatzschattenbericht"/>
      </w:pPr>
      <w:r>
        <w:t xml:space="preserve">Also Article 2(f) of the Convention calls upon states to </w:t>
      </w:r>
      <w:r w:rsidRPr="00D001FC">
        <w:rPr>
          <w:b/>
          <w:bCs/>
          <w:i/>
        </w:rPr>
        <w:t xml:space="preserve">“take all appropriate measures, including legislation, </w:t>
      </w:r>
      <w:r w:rsidRPr="00D001FC">
        <w:rPr>
          <w:i/>
        </w:rPr>
        <w:t>to modify or abolish existing laws, regulations, customs and practices which constitute discrimination against women”</w:t>
      </w:r>
      <w:r w:rsidRPr="009F6FE4">
        <w:t xml:space="preserve">, </w:t>
      </w:r>
      <w:r>
        <w:t xml:space="preserve">and the General recommendation No. 35 </w:t>
      </w:r>
      <w:r w:rsidRPr="00D001FC">
        <w:rPr>
          <w:i/>
        </w:rPr>
        <w:t>“on gender-based violence against women”</w:t>
      </w:r>
      <w:r w:rsidRPr="009F6FE4">
        <w:t xml:space="preserve"> </w:t>
      </w:r>
      <w:r>
        <w:t xml:space="preserve">(2017) stipulates that </w:t>
      </w:r>
      <w:r w:rsidRPr="00D001FC">
        <w:rPr>
          <w:b/>
          <w:bCs/>
          <w:i/>
        </w:rPr>
        <w:t xml:space="preserve">“States are required to adopt legislation prohibiting all forms </w:t>
      </w:r>
      <w:r w:rsidRPr="00D001FC">
        <w:rPr>
          <w:i/>
        </w:rPr>
        <w:t xml:space="preserve">of gender-based violence against women and girls, harmonizing national law with the Convention. In the legislation, women who are victims/survivors of such violence should be considered to be right holders. It should contain age-sensitive and gender-sensitive provisions and </w:t>
      </w:r>
      <w:r w:rsidRPr="00D001FC">
        <w:rPr>
          <w:b/>
          <w:bCs/>
          <w:i/>
        </w:rPr>
        <w:t>effective legal protection, including sanctions on perpetrators and reparations to victims/survivors</w:t>
      </w:r>
      <w:r w:rsidRPr="00D001FC">
        <w:rPr>
          <w:i/>
        </w:rPr>
        <w:t>.”</w:t>
      </w:r>
      <w:r>
        <w:t xml:space="preserve"> (GR 35, para 26(a)).</w:t>
      </w:r>
    </w:p>
    <w:p w14:paraId="55767AF7" w14:textId="77777777" w:rsidR="00550582" w:rsidRDefault="00550582" w:rsidP="007B4A76">
      <w:pPr>
        <w:pStyle w:val="absatzschattenbericht"/>
        <w:spacing w:after="113"/>
      </w:pPr>
      <w:r w:rsidRPr="00C74047">
        <w:t xml:space="preserve">Accordingly, with regards to IGM practices, and referring to Article 5 and the CEDAW/CRC Joint general recommendation No. 31/18, this Committee already explicitly recognised the obligation for State parties to </w:t>
      </w:r>
      <w:r w:rsidRPr="00C74047">
        <w:rPr>
          <w:rFonts w:eastAsia="Baskerville-SemiBoldItalic"/>
          <w:b/>
          <w:bCs/>
          <w:i/>
          <w:iCs/>
          <w:lang w:val="en-US"/>
        </w:rPr>
        <w:t>“[a]dopt clear legislative provisions explicitly prohibiting</w:t>
      </w:r>
      <w:r w:rsidRPr="00C74047">
        <w:rPr>
          <w:rFonts w:eastAsia="Baskerville-SemiBoldItalic"/>
          <w:i/>
          <w:iCs/>
          <w:lang w:val="en-US"/>
        </w:rPr>
        <w:t xml:space="preserve"> the performance of unnecessary surgical or other medical treatment on intersex children until they reach an age at which they can provide their free, prior and informed consent”</w:t>
      </w:r>
      <w:r w:rsidRPr="00C74047">
        <w:t>,</w:t>
      </w:r>
      <w:r w:rsidRPr="00C74047">
        <w:rPr>
          <w:rStyle w:val="FootnoteReference"/>
          <w:rFonts w:cs="Times New Roman"/>
        </w:rPr>
        <w:footnoteReference w:id="13"/>
      </w:r>
      <w:r w:rsidRPr="00C74047">
        <w:t xml:space="preserve"> and to</w:t>
      </w:r>
      <w:r w:rsidRPr="00C74047">
        <w:rPr>
          <w:rFonts w:eastAsia="Baskerville-Italic"/>
          <w:i/>
          <w:iCs/>
        </w:rPr>
        <w:t xml:space="preserve"> </w:t>
      </w:r>
      <w:r w:rsidRPr="00C74047">
        <w:rPr>
          <w:rFonts w:eastAsia="Baskerville-Italic"/>
          <w:b/>
          <w:bCs/>
          <w:i/>
          <w:iCs/>
        </w:rPr>
        <w:t xml:space="preserve">[a]dopt legal provisions to </w:t>
      </w:r>
      <w:r w:rsidRPr="00BF5D22">
        <w:rPr>
          <w:rFonts w:eastAsia="Baskerville-Italic"/>
          <w:b/>
          <w:bCs/>
          <w:i/>
          <w:iCs/>
        </w:rPr>
        <w:t>provide redress</w:t>
      </w:r>
      <w:r w:rsidRPr="00C74047">
        <w:rPr>
          <w:rFonts w:eastAsia="Baskerville-Italic"/>
          <w:i/>
          <w:iCs/>
        </w:rPr>
        <w:t xml:space="preserve"> to intersex persons who are victims of surgical or other medical interventions performed without their free, prior and informed consent</w:t>
      </w:r>
      <w:r w:rsidRPr="00C74047">
        <w:rPr>
          <w:rFonts w:eastAsia="Baskerville-SemiBoldItalic"/>
          <w:i/>
          <w:iCs/>
        </w:rPr>
        <w:t>”</w:t>
      </w:r>
      <w:r w:rsidRPr="00BF5D22">
        <w:t>.</w:t>
      </w:r>
      <w:r w:rsidRPr="00BF5D22">
        <w:rPr>
          <w:rStyle w:val="FootnoteReference"/>
          <w:rFonts w:cs="Times New Roman"/>
        </w:rPr>
        <w:footnoteReference w:id="14"/>
      </w:r>
    </w:p>
    <w:p w14:paraId="3D58479F" w14:textId="23E77D0B" w:rsidR="00550582" w:rsidRPr="00A71D05" w:rsidRDefault="00550582" w:rsidP="00CE680A">
      <w:pPr>
        <w:pStyle w:val="absatzschattenbericht"/>
      </w:pPr>
      <w:r w:rsidRPr="0009169E">
        <w:t>However,</w:t>
      </w:r>
      <w:r w:rsidRPr="00CE2C8A">
        <w:t xml:space="preserve"> </w:t>
      </w:r>
      <w:r w:rsidRPr="0009169E">
        <w:t xml:space="preserve">to this day and </w:t>
      </w:r>
      <w:r w:rsidRPr="007B4A76">
        <w:rPr>
          <w:b/>
        </w:rPr>
        <w:t xml:space="preserve">against better knowledge the </w:t>
      </w:r>
      <w:r w:rsidR="0082561C" w:rsidRPr="007B4A76">
        <w:rPr>
          <w:rFonts w:eastAsia="Baskerville-SemiBold"/>
          <w:b/>
        </w:rPr>
        <w:t>Austrian</w:t>
      </w:r>
      <w:r w:rsidRPr="007B4A76">
        <w:rPr>
          <w:rFonts w:eastAsia="Baskerville-SemiBold"/>
          <w:b/>
        </w:rPr>
        <w:t xml:space="preserve"> government</w:t>
      </w:r>
      <w:r w:rsidRPr="007B4A76">
        <w:rPr>
          <w:b/>
        </w:rPr>
        <w:t xml:space="preserve"> fails to enact appropriate legislative measures </w:t>
      </w:r>
      <w:r>
        <w:t xml:space="preserve">to </w:t>
      </w:r>
      <w:r w:rsidRPr="0009169E">
        <w:t xml:space="preserve">effectively eliminate IGM practices, nor to </w:t>
      </w:r>
      <w:r w:rsidRPr="007B4A76">
        <w:rPr>
          <w:b/>
        </w:rPr>
        <w:lastRenderedPageBreak/>
        <w:t>address the factual impunity of IGM perpetrators</w:t>
      </w:r>
      <w:r w:rsidRPr="00A71D05">
        <w:t>.</w:t>
      </w:r>
    </w:p>
    <w:p w14:paraId="7EC07C32" w14:textId="6C5EA493" w:rsidR="00550582" w:rsidRPr="0009169E" w:rsidRDefault="00550582" w:rsidP="007B4A76">
      <w:pPr>
        <w:pStyle w:val="absatzschattenbericht"/>
        <w:spacing w:after="113"/>
      </w:pPr>
      <w:r w:rsidRPr="0009169E">
        <w:t xml:space="preserve">Worse, </w:t>
      </w:r>
      <w:r w:rsidR="0082561C">
        <w:rPr>
          <w:rFonts w:eastAsia="Baskerville-SemiBold"/>
          <w:b/>
          <w:bCs/>
        </w:rPr>
        <w:t>Austrian</w:t>
      </w:r>
      <w:r w:rsidRPr="0009169E">
        <w:rPr>
          <w:rFonts w:eastAsia="Baskerville-SemiBold"/>
          <w:b/>
          <w:bCs/>
        </w:rPr>
        <w:t xml:space="preserve"> government bodies</w:t>
      </w:r>
      <w:r w:rsidRPr="0009169E">
        <w:t xml:space="preserve">, while repeatedly having been made aware of the harm done by the practice, are </w:t>
      </w:r>
      <w:r w:rsidRPr="0009169E">
        <w:rPr>
          <w:rFonts w:eastAsia="Baskerville-Bold"/>
          <w:b/>
          <w:bCs/>
        </w:rPr>
        <w:t>actively shielding IGM perpetrators</w:t>
      </w:r>
      <w:r w:rsidRPr="0009169E">
        <w:t xml:space="preserve"> by refusing to take action to outlaw and adequately sanction the practice.</w:t>
      </w:r>
    </w:p>
    <w:p w14:paraId="39697769" w14:textId="0405117D" w:rsidR="00550582" w:rsidRPr="0009169E" w:rsidRDefault="00550582" w:rsidP="007B4A76">
      <w:pPr>
        <w:pStyle w:val="absatzschattenbericht"/>
        <w:spacing w:after="113"/>
        <w:rPr>
          <w:rFonts w:eastAsia="Arial-BoldMT"/>
          <w:b/>
          <w:bCs/>
          <w:color w:val="5E175E"/>
          <w:sz w:val="23"/>
          <w:szCs w:val="23"/>
        </w:rPr>
      </w:pPr>
      <w:r w:rsidRPr="0009169E">
        <w:t>This situation</w:t>
      </w:r>
      <w:r w:rsidR="00A71D05">
        <w:t>,</w:t>
      </w:r>
      <w:r w:rsidRPr="0009169E">
        <w:t xml:space="preserve"> with the </w:t>
      </w:r>
      <w:r w:rsidR="0082561C">
        <w:rPr>
          <w:rFonts w:eastAsia="Baskerville-SemiBold"/>
          <w:b/>
          <w:bCs/>
        </w:rPr>
        <w:t>Austrian</w:t>
      </w:r>
      <w:r w:rsidRPr="0009169E">
        <w:rPr>
          <w:rFonts w:eastAsia="Baskerville-SemiBold"/>
          <w:b/>
          <w:bCs/>
        </w:rPr>
        <w:t xml:space="preserve"> government</w:t>
      </w:r>
      <w:r w:rsidRPr="0009169E">
        <w:t xml:space="preserve"> ignoring the ongoing practice while continuing to </w:t>
      </w:r>
      <w:r w:rsidRPr="0009169E">
        <w:rPr>
          <w:rFonts w:eastAsia="Baskerville-Bold"/>
          <w:b/>
          <w:bCs/>
        </w:rPr>
        <w:t>protect and fund the perpetrators</w:t>
      </w:r>
      <w:r w:rsidR="00A71D05">
        <w:rPr>
          <w:rFonts w:eastAsia="Baskerville-Bold"/>
          <w:b/>
          <w:bCs/>
        </w:rPr>
        <w:t>,</w:t>
      </w:r>
      <w:r w:rsidRPr="0009169E">
        <w:t xml:space="preserve"> is clearly not in line with </w:t>
      </w:r>
      <w:r w:rsidR="0082561C">
        <w:rPr>
          <w:rFonts w:eastAsia="Baskerville-SemiBold"/>
          <w:b/>
          <w:bCs/>
        </w:rPr>
        <w:t>Austria’s</w:t>
      </w:r>
      <w:r w:rsidRPr="0009169E">
        <w:rPr>
          <w:rFonts w:eastAsia="Baskerville-SemiBold"/>
          <w:b/>
          <w:bCs/>
        </w:rPr>
        <w:t xml:space="preserve"> obligations</w:t>
      </w:r>
      <w:r w:rsidRPr="0009169E">
        <w:t xml:space="preserve"> under the Convention and </w:t>
      </w:r>
      <w:r>
        <w:t>CEDAW/CRC</w:t>
      </w:r>
      <w:r w:rsidRPr="0009169E">
        <w:t xml:space="preserve"> Joint general </w:t>
      </w:r>
      <w:r>
        <w:t xml:space="preserve">recommendation No. </w:t>
      </w:r>
      <w:r w:rsidRPr="0009169E">
        <w:t>31</w:t>
      </w:r>
      <w:r>
        <w:t>/18</w:t>
      </w:r>
      <w:r w:rsidRPr="0009169E">
        <w:t>.</w:t>
      </w:r>
    </w:p>
    <w:p w14:paraId="1E16CAB1" w14:textId="0FDC6FE4" w:rsidR="00550582" w:rsidRPr="0093535A" w:rsidRDefault="00550582" w:rsidP="0093535A">
      <w:pPr>
        <w:pStyle w:val="Title2"/>
        <w:rPr>
          <w:rFonts w:eastAsia="Baskerville"/>
          <w:color w:val="000000"/>
          <w:szCs w:val="24"/>
        </w:rPr>
      </w:pPr>
      <w:bookmarkStart w:id="56" w:name="_Toc11105544"/>
      <w:r w:rsidRPr="0093535A">
        <w:t>4.  Obstacles to Redress, Fair and Adequate Compensation, and Rehabilitation</w:t>
      </w:r>
      <w:r w:rsidRPr="0093535A">
        <w:br/>
        <w:t xml:space="preserve">     (art. 5 and JGR No. 31; art</w:t>
      </w:r>
      <w:r w:rsidR="00342473" w:rsidRPr="0093535A">
        <w:t xml:space="preserve">. </w:t>
      </w:r>
      <w:r w:rsidR="00B14A24" w:rsidRPr="0093535A">
        <w:t xml:space="preserve">2 </w:t>
      </w:r>
      <w:r w:rsidRPr="0093535A">
        <w:t>and GR No. 35)</w:t>
      </w:r>
      <w:bookmarkEnd w:id="56"/>
      <w:r w:rsidRPr="0093535A">
        <w:t xml:space="preserve"> </w:t>
      </w:r>
    </w:p>
    <w:p w14:paraId="6B6AB014" w14:textId="77777777" w:rsidR="00550582" w:rsidRPr="00A30539" w:rsidRDefault="00550582" w:rsidP="007B4A76">
      <w:pPr>
        <w:pStyle w:val="absatzschattenbericht"/>
        <w:spacing w:after="113"/>
      </w:pPr>
      <w:r w:rsidRPr="00A30539">
        <w:t xml:space="preserve">Article </w:t>
      </w:r>
      <w:r>
        <w:t>5</w:t>
      </w:r>
      <w:r w:rsidRPr="00A30539">
        <w:t xml:space="preserve"> of the Convention in conjunction with the </w:t>
      </w:r>
      <w:r>
        <w:t>CEDAW/CRC</w:t>
      </w:r>
      <w:r w:rsidRPr="0009169E">
        <w:t xml:space="preserve"> Joint general </w:t>
      </w:r>
      <w:r>
        <w:t xml:space="preserve">recommendation No. </w:t>
      </w:r>
      <w:r w:rsidRPr="0009169E">
        <w:t>31</w:t>
      </w:r>
      <w:r>
        <w:t>/18</w:t>
      </w:r>
      <w:r w:rsidRPr="00A30539">
        <w:t xml:space="preserve"> “on harmful practices” clearly stipulate the right of victims of IGM practices to </w:t>
      </w:r>
      <w:r w:rsidRPr="00A30539">
        <w:rPr>
          <w:rFonts w:eastAsia="Baskerville-SemiBoldItalic"/>
          <w:b/>
          <w:bCs/>
          <w:i/>
          <w:iCs/>
        </w:rPr>
        <w:t xml:space="preserve">“equal access to legal remedies and appropriate reparations” </w:t>
      </w:r>
      <w:r w:rsidRPr="00A30539">
        <w:t>(</w:t>
      </w:r>
      <w:r>
        <w:t xml:space="preserve">JGR </w:t>
      </w:r>
      <w:r w:rsidRPr="00A30539">
        <w:t>31</w:t>
      </w:r>
      <w:r>
        <w:t>/18</w:t>
      </w:r>
      <w:r w:rsidRPr="00A30539">
        <w:t xml:space="preserve">, para 55 (q)), and specifically to ensure that </w:t>
      </w:r>
      <w:r w:rsidRPr="00A30539">
        <w:rPr>
          <w:rFonts w:eastAsia="Baskerville-Italic"/>
          <w:i/>
          <w:iCs/>
        </w:rPr>
        <w:t xml:space="preserve">“children subjected to harmful practices have </w:t>
      </w:r>
      <w:r w:rsidRPr="00A30539">
        <w:rPr>
          <w:rFonts w:eastAsia="Baskerville-SemiBoldItalic"/>
          <w:b/>
          <w:bCs/>
          <w:i/>
          <w:iCs/>
        </w:rPr>
        <w:t>equal access to justice,</w:t>
      </w:r>
      <w:r w:rsidRPr="00A30539">
        <w:rPr>
          <w:rFonts w:eastAsia="Baskerville-Italic"/>
          <w:i/>
          <w:iCs/>
        </w:rPr>
        <w:t xml:space="preserve"> including by </w:t>
      </w:r>
      <w:r w:rsidRPr="00A30539">
        <w:rPr>
          <w:rFonts w:eastAsia="Baskerville-SemiBoldItalic"/>
          <w:b/>
          <w:bCs/>
          <w:i/>
          <w:iCs/>
        </w:rPr>
        <w:t>addressing legal and practical barriers</w:t>
      </w:r>
      <w:r w:rsidRPr="00A30539">
        <w:rPr>
          <w:rFonts w:eastAsia="Baskerville-Italic"/>
          <w:i/>
          <w:iCs/>
        </w:rPr>
        <w:t xml:space="preserve"> to initiating legal proceedings, </w:t>
      </w:r>
      <w:r w:rsidRPr="00A30539">
        <w:rPr>
          <w:rFonts w:eastAsia="Baskerville-SemiBoldItalic"/>
          <w:b/>
          <w:bCs/>
          <w:i/>
          <w:iCs/>
        </w:rPr>
        <w:t xml:space="preserve">such as the limitation period” </w:t>
      </w:r>
      <w:r>
        <w:t xml:space="preserve">(JGR </w:t>
      </w:r>
      <w:r w:rsidRPr="00A30539">
        <w:t>31</w:t>
      </w:r>
      <w:r>
        <w:t>/18</w:t>
      </w:r>
      <w:r w:rsidRPr="00A30539">
        <w:t>, para 55 (o)).</w:t>
      </w:r>
    </w:p>
    <w:p w14:paraId="76F1EFEA" w14:textId="2A6A3194" w:rsidR="00550582" w:rsidRPr="003338A3" w:rsidRDefault="00550582" w:rsidP="007B4A76">
      <w:pPr>
        <w:pStyle w:val="absatzschattenbericht"/>
        <w:spacing w:after="113"/>
      </w:pPr>
      <w:r w:rsidRPr="0009169E">
        <w:t>Article</w:t>
      </w:r>
      <w:r w:rsidR="00342473">
        <w:t xml:space="preserve"> </w:t>
      </w:r>
      <w:r w:rsidR="00515EFE">
        <w:t>2</w:t>
      </w:r>
      <w:r w:rsidR="00342473">
        <w:t>(f)</w:t>
      </w:r>
      <w:r w:rsidR="00515EFE">
        <w:t xml:space="preserve"> </w:t>
      </w:r>
      <w:r w:rsidRPr="0009169E">
        <w:t xml:space="preserve">of the Convention </w:t>
      </w:r>
      <w:r w:rsidR="00515EFE">
        <w:t xml:space="preserve">in conjunction with </w:t>
      </w:r>
      <w:r w:rsidRPr="0009169E">
        <w:t xml:space="preserve">the General </w:t>
      </w:r>
      <w:r>
        <w:t>recommendation</w:t>
      </w:r>
      <w:r w:rsidRPr="0009169E">
        <w:t xml:space="preserve"> No. </w:t>
      </w:r>
      <w:r>
        <w:t>35</w:t>
      </w:r>
      <w:r w:rsidRPr="0009169E">
        <w:t xml:space="preserve"> “</w:t>
      </w:r>
      <w:r>
        <w:t>on gender-based violence against women</w:t>
      </w:r>
      <w:r w:rsidRPr="0009169E">
        <w:t xml:space="preserve">” also stipulate the right of victims to </w:t>
      </w:r>
      <w:r w:rsidRPr="00D423BD">
        <w:rPr>
          <w:rFonts w:eastAsia="Baskerville-SemiBoldItalic"/>
        </w:rPr>
        <w:t xml:space="preserve">effective access to </w:t>
      </w:r>
      <w:r>
        <w:rPr>
          <w:rFonts w:eastAsia="Baskerville-SemiBoldItalic"/>
          <w:b/>
          <w:bCs/>
          <w:i/>
          <w:iCs/>
        </w:rPr>
        <w:t xml:space="preserve">“redress” </w:t>
      </w:r>
      <w:r w:rsidRPr="0009169E">
        <w:t xml:space="preserve">(GC </w:t>
      </w:r>
      <w:r>
        <w:t>35</w:t>
      </w:r>
      <w:r w:rsidRPr="0009169E">
        <w:t xml:space="preserve">, para </w:t>
      </w:r>
      <w:r>
        <w:t>28</w:t>
      </w:r>
      <w:r w:rsidRPr="0009169E">
        <w:t xml:space="preserve">), </w:t>
      </w:r>
      <w:r w:rsidRPr="0009169E">
        <w:rPr>
          <w:rFonts w:eastAsia="Baskerville-SemiBoldItalic"/>
          <w:b/>
          <w:bCs/>
          <w:i/>
          <w:iCs/>
        </w:rPr>
        <w:t>“</w:t>
      </w:r>
      <w:r>
        <w:rPr>
          <w:rFonts w:eastAsia="Baskerville-SemiBoldItalic"/>
          <w:b/>
          <w:bCs/>
          <w:i/>
          <w:iCs/>
        </w:rPr>
        <w:t>monetary compensation</w:t>
      </w:r>
      <w:r w:rsidRPr="0009169E">
        <w:rPr>
          <w:rFonts w:eastAsia="Baskerville-SemiBoldItalic"/>
          <w:b/>
          <w:bCs/>
          <w:i/>
          <w:iCs/>
        </w:rPr>
        <w:t>”</w:t>
      </w:r>
      <w:r w:rsidRPr="0009169E">
        <w:t xml:space="preserve"> (GC </w:t>
      </w:r>
      <w:r>
        <w:t>35</w:t>
      </w:r>
      <w:r w:rsidRPr="0009169E">
        <w:t>, para</w:t>
      </w:r>
      <w:r>
        <w:t>s</w:t>
      </w:r>
      <w:r w:rsidRPr="0009169E">
        <w:t xml:space="preserve"> </w:t>
      </w:r>
      <w:r>
        <w:t xml:space="preserve">33(a), 34(b)), and </w:t>
      </w:r>
      <w:r>
        <w:rPr>
          <w:b/>
          <w:bCs/>
          <w:i/>
          <w:iCs/>
        </w:rPr>
        <w:t>“reparation”</w:t>
      </w:r>
      <w:r>
        <w:rPr>
          <w:i/>
          <w:iCs/>
        </w:rPr>
        <w:t xml:space="preserve"> </w:t>
      </w:r>
      <w:r>
        <w:t>(GC 35, paras 23, 24(b), 26(a), 31(d), 33, 34).</w:t>
      </w:r>
    </w:p>
    <w:p w14:paraId="3A8DDF91" w14:textId="400E9F4A" w:rsidR="00550582" w:rsidRPr="0009169E" w:rsidRDefault="00550582" w:rsidP="007B4A76">
      <w:pPr>
        <w:pStyle w:val="absatzschattenbericht"/>
        <w:spacing w:after="113"/>
      </w:pPr>
      <w:r w:rsidRPr="0009169E">
        <w:t xml:space="preserve">However, also in </w:t>
      </w:r>
      <w:r w:rsidR="0082561C">
        <w:rPr>
          <w:rFonts w:eastAsia="Baskerville-SemiBold"/>
          <w:b/>
          <w:bCs/>
        </w:rPr>
        <w:t>Austria</w:t>
      </w:r>
      <w:r w:rsidRPr="0009169E">
        <w:t xml:space="preserve"> the </w:t>
      </w:r>
      <w:r w:rsidRPr="0009169E">
        <w:rPr>
          <w:rFonts w:eastAsia="Baskerville-SemiBold"/>
          <w:b/>
          <w:bCs/>
        </w:rPr>
        <w:t>statutes of limitation</w:t>
      </w:r>
      <w:r w:rsidRPr="0009169E">
        <w:t xml:space="preserve"> prohibit survivors of early childhood IGM practices to call a court, because persons concerned often </w:t>
      </w:r>
      <w:r w:rsidRPr="0009169E">
        <w:rPr>
          <w:rFonts w:eastAsia="Baskerville-SemiBold"/>
          <w:b/>
          <w:bCs/>
        </w:rPr>
        <w:t xml:space="preserve">do not find </w:t>
      </w:r>
      <w:r w:rsidRPr="0009169E">
        <w:rPr>
          <w:rFonts w:eastAsia="Baskerville-SemiBold"/>
          <w:b/>
          <w:bCs/>
        </w:rPr>
        <w:lastRenderedPageBreak/>
        <w:t>out</w:t>
      </w:r>
      <w:r w:rsidRPr="0009169E">
        <w:t xml:space="preserve"> about their medical history until much later in life, and </w:t>
      </w:r>
      <w:r w:rsidRPr="0009169E">
        <w:rPr>
          <w:rFonts w:eastAsia="Baskerville-SemiBold"/>
          <w:b/>
          <w:bCs/>
        </w:rPr>
        <w:t>severe trauma</w:t>
      </w:r>
      <w:r w:rsidRPr="0009169E">
        <w:t xml:space="preserve"> caused by IGM practices often prohibits them to act in time even once they do.</w:t>
      </w:r>
      <w:r w:rsidRPr="00A23F1D">
        <w:rPr>
          <w:rStyle w:val="FootnoteReference"/>
          <w:rFonts w:cs="Times New Roman"/>
        </w:rPr>
        <w:footnoteReference w:id="15"/>
      </w:r>
      <w:r w:rsidRPr="0009169E">
        <w:t xml:space="preserve"> So far there was no case of a victim of IGM practices succeeding in going to a Spanish court. </w:t>
      </w:r>
    </w:p>
    <w:p w14:paraId="6FC68561" w14:textId="36E2E2B1" w:rsidR="00550582" w:rsidRPr="0009169E" w:rsidRDefault="00550582" w:rsidP="00CE680A">
      <w:pPr>
        <w:pStyle w:val="absatzschattenbericht"/>
        <w:rPr>
          <w:rFonts w:eastAsia="Arial-BoldMT"/>
          <w:b/>
          <w:bCs/>
          <w:color w:val="5E175E"/>
          <w:spacing w:val="3"/>
          <w:sz w:val="26"/>
          <w:szCs w:val="26"/>
        </w:rPr>
      </w:pPr>
      <w:r w:rsidRPr="0009169E">
        <w:t xml:space="preserve">The </w:t>
      </w:r>
      <w:r w:rsidR="0082561C">
        <w:rPr>
          <w:rFonts w:eastAsia="Baskerville-SemiBold"/>
          <w:b/>
          <w:bCs/>
        </w:rPr>
        <w:t>Austrian</w:t>
      </w:r>
      <w:r w:rsidRPr="0009169E">
        <w:rPr>
          <w:rFonts w:eastAsia="Baskerville-SemiBold"/>
          <w:b/>
          <w:bCs/>
        </w:rPr>
        <w:t xml:space="preserve"> government</w:t>
      </w:r>
      <w:r w:rsidRPr="0009169E">
        <w:t xml:space="preserve"> so far refuses to ensure that non-consensual unnecessary IGM surgeries on minors are recognised as a form of </w:t>
      </w:r>
      <w:r w:rsidRPr="0009169E">
        <w:rPr>
          <w:rFonts w:eastAsia="Baskerville-SemiBold"/>
          <w:b/>
          <w:bCs/>
        </w:rPr>
        <w:t>genital mutilation</w:t>
      </w:r>
      <w:r w:rsidRPr="0009169E">
        <w:t xml:space="preserve">, which would formally prohibit parents from giving “consent”. In addition, the state party </w:t>
      </w:r>
      <w:r w:rsidRPr="0009169E">
        <w:rPr>
          <w:rFonts w:eastAsia="Baskerville-SemiBold"/>
          <w:b/>
          <w:bCs/>
        </w:rPr>
        <w:t>refuses to initiate impartial investigations</w:t>
      </w:r>
      <w:r w:rsidRPr="0009169E">
        <w:t>, as well as data collection, monitoring, and disinterested research.</w:t>
      </w:r>
    </w:p>
    <w:p w14:paraId="1C99D345" w14:textId="77777777" w:rsidR="009F63E7" w:rsidRDefault="009F63E7" w:rsidP="00CE680A">
      <w:pPr>
        <w:pStyle w:val="absatzschattenbericht"/>
      </w:pPr>
    </w:p>
    <w:p w14:paraId="463C7075" w14:textId="53B67A55" w:rsidR="009F63E7" w:rsidRPr="009F63E7" w:rsidRDefault="009F63E7" w:rsidP="009F63E7">
      <w:pPr>
        <w:pStyle w:val="Title1"/>
        <w:rPr>
          <w:lang w:val="en-US"/>
        </w:rPr>
      </w:pPr>
      <w:bookmarkStart w:id="57" w:name="_Toc532733096"/>
      <w:bookmarkStart w:id="58" w:name="_Toc11105545"/>
      <w:r w:rsidRPr="009F63E7">
        <w:rPr>
          <w:lang w:val="en-US"/>
        </w:rPr>
        <w:lastRenderedPageBreak/>
        <w:t xml:space="preserve">D.  Claims of the </w:t>
      </w:r>
      <w:r>
        <w:rPr>
          <w:lang w:val="en-US"/>
        </w:rPr>
        <w:t>Austrian</w:t>
      </w:r>
      <w:r w:rsidRPr="009F63E7">
        <w:rPr>
          <w:lang w:val="en-US"/>
        </w:rPr>
        <w:t xml:space="preserve"> Government in its Replies to the LOI</w:t>
      </w:r>
      <w:bookmarkEnd w:id="57"/>
      <w:bookmarkEnd w:id="58"/>
    </w:p>
    <w:p w14:paraId="17B31DE2" w14:textId="50EE175D" w:rsidR="009F63E7" w:rsidRPr="00EB7CBA" w:rsidRDefault="009F63E7" w:rsidP="00CE680A">
      <w:pPr>
        <w:pStyle w:val="absatzschattenbericht"/>
      </w:pPr>
      <w:r>
        <w:t xml:space="preserve">In the </w:t>
      </w:r>
      <w:r w:rsidRPr="00751563">
        <w:rPr>
          <w:b/>
        </w:rPr>
        <w:t>List of Issues</w:t>
      </w:r>
      <w:r>
        <w:t xml:space="preserve"> </w:t>
      </w:r>
      <w:r w:rsidRPr="000C41CB">
        <w:rPr>
          <w:iCs/>
        </w:rPr>
        <w:t>(</w:t>
      </w:r>
      <w:r w:rsidRPr="009F63E7">
        <w:rPr>
          <w:iCs/>
          <w:lang w:val="en-US"/>
        </w:rPr>
        <w:t>CEDAW/C/AUT/Q/9, para 11</w:t>
      </w:r>
      <w:r w:rsidRPr="000C41CB">
        <w:rPr>
          <w:iCs/>
        </w:rPr>
        <w:t>)</w:t>
      </w:r>
      <w:r>
        <w:rPr>
          <w:iCs/>
        </w:rPr>
        <w:t xml:space="preserve"> the </w:t>
      </w:r>
      <w:r w:rsidR="000E304F">
        <w:rPr>
          <w:iCs/>
        </w:rPr>
        <w:t>Austrian</w:t>
      </w:r>
      <w:r>
        <w:rPr>
          <w:iCs/>
        </w:rPr>
        <w:t xml:space="preserve"> government was asked </w:t>
      </w:r>
      <w:r w:rsidR="00751563">
        <w:rPr>
          <w:iCs/>
        </w:rPr>
        <w:t xml:space="preserve">under </w:t>
      </w:r>
      <w:r w:rsidR="00751563" w:rsidRPr="00E218B4">
        <w:rPr>
          <w:b/>
          <w:i/>
        </w:rPr>
        <w:t>“harmful practices”</w:t>
      </w:r>
      <w:r w:rsidR="00751563">
        <w:rPr>
          <w:iCs/>
        </w:rPr>
        <w:t xml:space="preserve"> </w:t>
      </w:r>
      <w:r>
        <w:rPr>
          <w:iCs/>
        </w:rPr>
        <w:t xml:space="preserve">to </w:t>
      </w:r>
      <w:r w:rsidRPr="00E218B4">
        <w:rPr>
          <w:i/>
          <w:iCs/>
        </w:rPr>
        <w:t>“</w:t>
      </w:r>
      <w:r w:rsidR="000E304F" w:rsidRPr="00E218B4">
        <w:rPr>
          <w:i/>
        </w:rPr>
        <w:t xml:space="preserve">provide information, including detailed statistics, on legal and medical standards following best practices in relation to </w:t>
      </w:r>
      <w:r w:rsidR="000E304F" w:rsidRPr="00E218B4">
        <w:rPr>
          <w:b/>
          <w:i/>
        </w:rPr>
        <w:t>medical and surgical treatment of intersex persons</w:t>
      </w:r>
      <w:r w:rsidRPr="00E218B4">
        <w:rPr>
          <w:b/>
          <w:i/>
        </w:rPr>
        <w:t>”</w:t>
      </w:r>
      <w:r w:rsidR="00AA592B">
        <w:rPr>
          <w:iCs/>
        </w:rPr>
        <w:t xml:space="preserve">, </w:t>
      </w:r>
      <w:r w:rsidR="00AA592B" w:rsidRPr="00E218B4">
        <w:rPr>
          <w:i/>
        </w:rPr>
        <w:t>“</w:t>
      </w:r>
      <w:r w:rsidR="00AA592B" w:rsidRPr="00E218B4">
        <w:rPr>
          <w:i/>
          <w:lang w:val="en-US"/>
        </w:rPr>
        <w:t xml:space="preserve">on </w:t>
      </w:r>
      <w:r w:rsidR="00AA592B" w:rsidRPr="00E218B4">
        <w:rPr>
          <w:b/>
          <w:i/>
          <w:lang w:val="en-US"/>
        </w:rPr>
        <w:t>investigations</w:t>
      </w:r>
      <w:r w:rsidR="00AA592B" w:rsidRPr="00E218B4">
        <w:rPr>
          <w:i/>
          <w:lang w:val="en-US"/>
        </w:rPr>
        <w:t xml:space="preserve"> into incidents”</w:t>
      </w:r>
      <w:r w:rsidR="00AA592B">
        <w:rPr>
          <w:iCs/>
          <w:lang w:val="en-US"/>
        </w:rPr>
        <w:t xml:space="preserve">, </w:t>
      </w:r>
      <w:r w:rsidR="00AA592B" w:rsidRPr="00E218B4">
        <w:rPr>
          <w:i/>
          <w:lang w:val="en-US"/>
        </w:rPr>
        <w:t xml:space="preserve">“on existing </w:t>
      </w:r>
      <w:r w:rsidR="00AA592B" w:rsidRPr="00E218B4">
        <w:rPr>
          <w:b/>
          <w:i/>
          <w:lang w:val="en-US"/>
        </w:rPr>
        <w:t>remedies</w:t>
      </w:r>
      <w:r w:rsidR="00AA592B" w:rsidRPr="00E218B4">
        <w:rPr>
          <w:i/>
          <w:lang w:val="en-US"/>
        </w:rPr>
        <w:t xml:space="preserve"> to the victims”</w:t>
      </w:r>
      <w:r w:rsidR="008F515F">
        <w:rPr>
          <w:iCs/>
          <w:lang w:val="en-US"/>
        </w:rPr>
        <w:t xml:space="preserve">, and on </w:t>
      </w:r>
      <w:r w:rsidR="008F515F" w:rsidRPr="00E218B4">
        <w:rPr>
          <w:i/>
          <w:lang w:val="en-US"/>
        </w:rPr>
        <w:t>“how many persons have registered as a third gender”</w:t>
      </w:r>
      <w:r w:rsidR="00751563">
        <w:t xml:space="preserve">. In its </w:t>
      </w:r>
      <w:r w:rsidR="00751563" w:rsidRPr="00751563">
        <w:rPr>
          <w:b/>
        </w:rPr>
        <w:t>R</w:t>
      </w:r>
      <w:r w:rsidRPr="00751563">
        <w:rPr>
          <w:b/>
        </w:rPr>
        <w:t>eplies to the List of Issues</w:t>
      </w:r>
      <w:r>
        <w:t xml:space="preserve"> </w:t>
      </w:r>
      <w:r w:rsidRPr="00FB2EA2">
        <w:rPr>
          <w:iCs/>
        </w:rPr>
        <w:t>(</w:t>
      </w:r>
      <w:r w:rsidR="00EB7CBA" w:rsidRPr="00FE42BA">
        <w:t>CEDAW/C/AUT/Q/9/Add.1</w:t>
      </w:r>
      <w:r w:rsidR="00EB7CBA">
        <w:t>, 67-69</w:t>
      </w:r>
      <w:r w:rsidRPr="00FB2EA2">
        <w:rPr>
          <w:iCs/>
        </w:rPr>
        <w:t>)</w:t>
      </w:r>
      <w:r>
        <w:rPr>
          <w:iCs/>
        </w:rPr>
        <w:t xml:space="preserve">, the </w:t>
      </w:r>
      <w:r w:rsidR="00EB7CBA">
        <w:rPr>
          <w:iCs/>
        </w:rPr>
        <w:t>Austrian</w:t>
      </w:r>
      <w:r>
        <w:rPr>
          <w:iCs/>
        </w:rPr>
        <w:t xml:space="preserve"> government makes a </w:t>
      </w:r>
      <w:r w:rsidRPr="00751563">
        <w:rPr>
          <w:b/>
          <w:iCs/>
        </w:rPr>
        <w:t>series of claims</w:t>
      </w:r>
      <w:r>
        <w:rPr>
          <w:iCs/>
        </w:rPr>
        <w:t>, on which the Rapporteurs would like to comment:</w:t>
      </w:r>
    </w:p>
    <w:p w14:paraId="4D8E37B9" w14:textId="6EE073F5" w:rsidR="009F63E7" w:rsidRPr="00315E2F" w:rsidRDefault="009F63E7" w:rsidP="0093535A">
      <w:pPr>
        <w:pStyle w:val="Title2"/>
      </w:pPr>
      <w:bookmarkStart w:id="59" w:name="_Toc532733097"/>
      <w:bookmarkStart w:id="60" w:name="_Toc11105546"/>
      <w:r>
        <w:t>1.  Claim “</w:t>
      </w:r>
      <w:r w:rsidR="00DB19E8">
        <w:t>Civ</w:t>
      </w:r>
      <w:r w:rsidR="00771C18">
        <w:t>il Register Issues are a valid Answer to Harmful P</w:t>
      </w:r>
      <w:r w:rsidR="00DB19E8">
        <w:t>ractices</w:t>
      </w:r>
      <w:r>
        <w:t>”</w:t>
      </w:r>
      <w:bookmarkEnd w:id="59"/>
      <w:bookmarkEnd w:id="60"/>
    </w:p>
    <w:p w14:paraId="63FC9F21" w14:textId="65EE3C8F" w:rsidR="009F63E7" w:rsidRPr="00A71D05" w:rsidRDefault="00EB7CBA" w:rsidP="00CE680A">
      <w:pPr>
        <w:pStyle w:val="absatzschattenbericht"/>
        <w:numPr>
          <w:ilvl w:val="0"/>
          <w:numId w:val="27"/>
        </w:numPr>
      </w:pPr>
      <w:r w:rsidRPr="00E218B4">
        <w:rPr>
          <w:i/>
        </w:rPr>
        <w:t>67.  In its judgment from 15 June 2018, the Constitutional Court held that intersex people, who are biologically neither clearly “male” nor “female”, have the right to be registered according to their sex characteristics in the civil register or in official documents. A ministerial working group clarified issues related to the civil register</w:t>
      </w:r>
      <w:r w:rsidRPr="00A71D05">
        <w:t>.</w:t>
      </w:r>
    </w:p>
    <w:p w14:paraId="2FDD9124" w14:textId="192D413E" w:rsidR="002B6805" w:rsidRDefault="002601B3" w:rsidP="00E218B4">
      <w:pPr>
        <w:pStyle w:val="absatzschattenbericht"/>
        <w:spacing w:after="113"/>
        <w:rPr>
          <w:bCs/>
          <w:lang w:val="en-US"/>
        </w:rPr>
      </w:pPr>
      <w:r>
        <w:t xml:space="preserve">It’s a </w:t>
      </w:r>
      <w:r w:rsidRPr="00751563">
        <w:rPr>
          <w:b/>
          <w:bCs/>
        </w:rPr>
        <w:t xml:space="preserve">well-known ruse of State </w:t>
      </w:r>
      <w:r w:rsidRPr="00751563">
        <w:t>parties to sidestep questions on harmful practices</w:t>
      </w:r>
      <w:r>
        <w:t xml:space="preserve"> on intersex children by </w:t>
      </w:r>
      <w:r w:rsidR="006C7E79" w:rsidRPr="00751563">
        <w:rPr>
          <w:b/>
          <w:bCs/>
        </w:rPr>
        <w:t>unduly focusing</w:t>
      </w:r>
      <w:r>
        <w:t xml:space="preserve"> on civil registration and 3</w:t>
      </w:r>
      <w:r w:rsidRPr="002601B3">
        <w:rPr>
          <w:vertAlign w:val="superscript"/>
        </w:rPr>
        <w:t>rd</w:t>
      </w:r>
      <w:r>
        <w:t xml:space="preserve"> gender issues instead.</w:t>
      </w:r>
      <w:r>
        <w:rPr>
          <w:rStyle w:val="FootnoteReference"/>
        </w:rPr>
        <w:footnoteReference w:id="16"/>
      </w:r>
      <w:r w:rsidR="004D57DD">
        <w:t xml:space="preserve"> </w:t>
      </w:r>
      <w:r w:rsidR="008F515F">
        <w:t xml:space="preserve">Obviously, </w:t>
      </w:r>
      <w:r w:rsidR="008F515F" w:rsidRPr="00751563">
        <w:rPr>
          <w:b/>
          <w:bCs/>
        </w:rPr>
        <w:t>Austria is no exception</w:t>
      </w:r>
      <w:r w:rsidR="001F5CBC">
        <w:t xml:space="preserve">, dedicating the first </w:t>
      </w:r>
      <w:r w:rsidR="008F515F">
        <w:t xml:space="preserve">half of its answer to </w:t>
      </w:r>
      <w:r w:rsidR="008F515F" w:rsidRPr="006217AF">
        <w:rPr>
          <w:i/>
          <w:iCs/>
        </w:rPr>
        <w:t>“issues related to the civil register”</w:t>
      </w:r>
      <w:r w:rsidR="006217AF">
        <w:t xml:space="preserve"> while </w:t>
      </w:r>
      <w:r w:rsidR="006217AF" w:rsidRPr="00751563">
        <w:rPr>
          <w:b/>
          <w:bCs/>
        </w:rPr>
        <w:t>failing</w:t>
      </w:r>
      <w:r w:rsidR="006217AF">
        <w:t xml:space="preserve"> to reply on </w:t>
      </w:r>
      <w:r w:rsidR="006217AF" w:rsidRPr="006217AF">
        <w:rPr>
          <w:i/>
          <w:iCs/>
        </w:rPr>
        <w:t>“</w:t>
      </w:r>
      <w:r w:rsidR="006217AF" w:rsidRPr="006217AF">
        <w:rPr>
          <w:bCs/>
          <w:i/>
          <w:iCs/>
          <w:lang w:val="en-US"/>
        </w:rPr>
        <w:t>legal and medical standards</w:t>
      </w:r>
      <w:r w:rsidR="006217AF" w:rsidRPr="006217AF">
        <w:rPr>
          <w:i/>
          <w:iCs/>
        </w:rPr>
        <w:t>”</w:t>
      </w:r>
      <w:r w:rsidR="006217AF">
        <w:t xml:space="preserve"> concerning IGM practices. </w:t>
      </w:r>
      <w:r w:rsidR="008F515F">
        <w:t>(</w:t>
      </w:r>
      <w:r w:rsidR="006217AF">
        <w:t>Nonetheless, Austria</w:t>
      </w:r>
      <w:r w:rsidR="008F515F">
        <w:t xml:space="preserve"> still </w:t>
      </w:r>
      <w:r w:rsidR="006217AF">
        <w:t>fails</w:t>
      </w:r>
      <w:r w:rsidR="008F515F">
        <w:t xml:space="preserve"> to provide an answer to the Committee’s concrete question about </w:t>
      </w:r>
      <w:r w:rsidR="008F515F">
        <w:rPr>
          <w:i/>
          <w:iCs/>
        </w:rPr>
        <w:t>“</w:t>
      </w:r>
      <w:r w:rsidR="008F515F" w:rsidRPr="008F515F">
        <w:rPr>
          <w:bCs/>
          <w:i/>
          <w:iCs/>
          <w:lang w:val="en-US"/>
        </w:rPr>
        <w:t>how many persons have registered as a third gende</w:t>
      </w:r>
      <w:r w:rsidR="008F515F">
        <w:rPr>
          <w:bCs/>
          <w:i/>
          <w:iCs/>
          <w:lang w:val="en-US"/>
        </w:rPr>
        <w:t>r”</w:t>
      </w:r>
      <w:r w:rsidR="008F515F" w:rsidRPr="008F515F">
        <w:rPr>
          <w:bCs/>
          <w:lang w:val="en-US"/>
        </w:rPr>
        <w:t xml:space="preserve"> </w:t>
      </w:r>
      <w:r w:rsidR="006217AF">
        <w:rPr>
          <w:bCs/>
          <w:lang w:val="en-US"/>
        </w:rPr>
        <w:t>just as well.</w:t>
      </w:r>
      <w:r w:rsidR="008F515F">
        <w:rPr>
          <w:bCs/>
          <w:lang w:val="en-US"/>
        </w:rPr>
        <w:t xml:space="preserve">) </w:t>
      </w:r>
    </w:p>
    <w:p w14:paraId="48A2FBF6" w14:textId="1BFC7F4E" w:rsidR="002601B3" w:rsidRPr="008F515F" w:rsidRDefault="002B6805" w:rsidP="00E218B4">
      <w:pPr>
        <w:pStyle w:val="absatzschattenbericht"/>
        <w:spacing w:after="113"/>
      </w:pPr>
      <w:r>
        <w:t>In addition</w:t>
      </w:r>
      <w:r w:rsidR="006C0DB8">
        <w:t xml:space="preserve">, as mentioned in our written answers to Committee questions on intersex </w:t>
      </w:r>
      <w:r w:rsidR="006C0DB8">
        <w:lastRenderedPageBreak/>
        <w:t>during the PSWG NGO meeting,</w:t>
      </w:r>
      <w:r w:rsidR="006C0DB8">
        <w:rPr>
          <w:rStyle w:val="FootnoteReference"/>
          <w:bCs/>
          <w:lang w:val="en-US"/>
        </w:rPr>
        <w:footnoteReference w:id="17"/>
      </w:r>
      <w:r w:rsidR="006C0DB8">
        <w:t xml:space="preserve"> </w:t>
      </w:r>
      <w:r w:rsidRPr="002B6805">
        <w:t xml:space="preserve">regarding </w:t>
      </w:r>
      <w:r w:rsidRPr="00751563">
        <w:rPr>
          <w:b/>
        </w:rPr>
        <w:t>harmful practices</w:t>
      </w:r>
      <w:r w:rsidRPr="002B6805">
        <w:t xml:space="preserve"> on intersex children, it’s important to note that </w:t>
      </w:r>
      <w:r w:rsidRPr="00751563">
        <w:rPr>
          <w:b/>
        </w:rPr>
        <w:t>legal 3rd gender recognition does not prevent IGM</w:t>
      </w:r>
      <w:r w:rsidRPr="002B6805">
        <w:t xml:space="preserve"> and other harmful practices on intersex children (despite that often the contrary is publicly assumed or claimed), which is also evident for example in Australia and New Zealand which also already have legal 3rd gender recognition</w:t>
      </w:r>
      <w:r>
        <w:t>.</w:t>
      </w:r>
    </w:p>
    <w:p w14:paraId="47BEFCCA" w14:textId="5758BBD5" w:rsidR="006C7E79" w:rsidRPr="00315E2F" w:rsidRDefault="006C7E79" w:rsidP="0093535A">
      <w:pPr>
        <w:pStyle w:val="Title2"/>
      </w:pPr>
      <w:bookmarkStart w:id="61" w:name="_Toc11105547"/>
      <w:r>
        <w:t>2.  Claim “Constitutional</w:t>
      </w:r>
      <w:r w:rsidRPr="006C7E79">
        <w:t xml:space="preserve"> Court did not comment on </w:t>
      </w:r>
      <w:r>
        <w:t>IGM Practices”</w:t>
      </w:r>
      <w:bookmarkEnd w:id="61"/>
    </w:p>
    <w:p w14:paraId="04F49AE4" w14:textId="05E37030" w:rsidR="006C7E79" w:rsidRPr="00E218B4" w:rsidRDefault="006C7E79" w:rsidP="00CE680A">
      <w:pPr>
        <w:pStyle w:val="absatzschattenbericht"/>
        <w:numPr>
          <w:ilvl w:val="0"/>
          <w:numId w:val="27"/>
        </w:numPr>
        <w:rPr>
          <w:i/>
        </w:rPr>
      </w:pPr>
      <w:r w:rsidRPr="00E218B4">
        <w:rPr>
          <w:i/>
        </w:rPr>
        <w:t>68.  The Court did not comment on legal or medical requirements for medical interventions for intersex people in its decision. […]</w:t>
      </w:r>
    </w:p>
    <w:p w14:paraId="40F570E2" w14:textId="4503A9A0" w:rsidR="001B2222" w:rsidRPr="001B2222" w:rsidRDefault="002B6805" w:rsidP="00CE680A">
      <w:pPr>
        <w:pStyle w:val="absatzschattenbericht"/>
      </w:pPr>
      <w:r>
        <w:t>As mentioned</w:t>
      </w:r>
      <w:r w:rsidR="005545D0">
        <w:t xml:space="preserve"> and referenced</w:t>
      </w:r>
      <w:r>
        <w:t xml:space="preserve"> in </w:t>
      </w:r>
      <w:r w:rsidR="005545D0">
        <w:t>our oral statement for the PSWG NGO meeting,</w:t>
      </w:r>
      <w:r w:rsidR="005545D0">
        <w:rPr>
          <w:rStyle w:val="FootnoteReference"/>
          <w:bCs/>
          <w:lang w:val="en-US"/>
        </w:rPr>
        <w:footnoteReference w:id="18"/>
      </w:r>
      <w:r w:rsidR="005545D0">
        <w:t xml:space="preserve"> </w:t>
      </w:r>
      <w:r w:rsidR="001B2222">
        <w:t xml:space="preserve">the </w:t>
      </w:r>
      <w:r w:rsidR="001B2222" w:rsidRPr="00751563">
        <w:rPr>
          <w:b/>
          <w:bCs/>
        </w:rPr>
        <w:t>Austrian Constitutional Court</w:t>
      </w:r>
      <w:r w:rsidR="001B2222">
        <w:t xml:space="preserve"> did in fact comment on IGM practices, </w:t>
      </w:r>
      <w:r w:rsidR="001B2222" w:rsidRPr="00751563">
        <w:rPr>
          <w:b/>
          <w:bCs/>
        </w:rPr>
        <w:t>clarifying</w:t>
      </w:r>
      <w:r w:rsidR="001B2222">
        <w:t xml:space="preserve"> that i</w:t>
      </w:r>
      <w:r w:rsidR="001B2222">
        <w:rPr>
          <w:lang w:val="en-US"/>
        </w:rPr>
        <w:t xml:space="preserve">ntersex </w:t>
      </w:r>
      <w:r w:rsidR="001B2222" w:rsidRPr="001B2222">
        <w:rPr>
          <w:lang w:val="en-US"/>
        </w:rPr>
        <w:t xml:space="preserve">constitutes </w:t>
      </w:r>
      <w:r w:rsidR="001B2222" w:rsidRPr="001B2222">
        <w:rPr>
          <w:i/>
          <w:lang w:val="en-US"/>
        </w:rPr>
        <w:t xml:space="preserve">“a variation of sex development, which has to be recognised as such and in particular that it is not an expression of a pathological development. [...] </w:t>
      </w:r>
      <w:r w:rsidR="001B2222" w:rsidRPr="001B2222">
        <w:rPr>
          <w:b/>
          <w:bCs/>
          <w:i/>
          <w:lang w:val="en-US"/>
        </w:rPr>
        <w:t>Therefore, fear of stigmatisation on the part of families can in no way indicate interventions.”</w:t>
      </w:r>
      <w:r w:rsidR="001B2222" w:rsidRPr="001B2222">
        <w:rPr>
          <w:i/>
          <w:lang w:val="en-US"/>
        </w:rPr>
        <w:t xml:space="preserve"> </w:t>
      </w:r>
      <w:r w:rsidR="001B2222" w:rsidRPr="001B2222">
        <w:rPr>
          <w:vertAlign w:val="superscript"/>
          <w:lang w:val="de-LU"/>
        </w:rPr>
        <w:footnoteReference w:id="19"/>
      </w:r>
      <w:r w:rsidR="001B2222">
        <w:rPr>
          <w:iCs/>
          <w:lang w:val="en-US"/>
        </w:rPr>
        <w:t xml:space="preserve"> </w:t>
      </w:r>
      <w:r w:rsidR="001F332D">
        <w:rPr>
          <w:iCs/>
          <w:lang w:val="en-US"/>
        </w:rPr>
        <w:t xml:space="preserve">In other words, procedures on intersex children </w:t>
      </w:r>
      <w:r w:rsidR="00F83C61">
        <w:rPr>
          <w:iCs/>
          <w:lang w:val="en-US"/>
        </w:rPr>
        <w:t>justified by a psychosocial indication instead of medical urgency, i.e. most procedures currently performed on intersex children in Austria, are not permitted according to the Constitutional Court.</w:t>
      </w:r>
    </w:p>
    <w:p w14:paraId="7B500FF6" w14:textId="77777777" w:rsidR="00450F68" w:rsidRDefault="00450F68">
      <w:pPr>
        <w:widowControl/>
        <w:suppressAutoHyphens w:val="0"/>
        <w:textAlignment w:val="auto"/>
        <w:rPr>
          <w:rFonts w:ascii="Arial" w:eastAsia="Helvetica-Bold" w:hAnsi="Arial" w:cs="Arial"/>
          <w:b/>
          <w:bCs/>
          <w:iCs/>
          <w:color w:val="5E175E"/>
          <w:spacing w:val="2"/>
          <w:w w:val="98"/>
          <w:kern w:val="24"/>
          <w:szCs w:val="28"/>
          <w:lang w:val="en-GB"/>
        </w:rPr>
      </w:pPr>
      <w:r w:rsidRPr="0093535A">
        <w:rPr>
          <w:w w:val="98"/>
          <w:lang w:val="en-US"/>
        </w:rPr>
        <w:br w:type="page"/>
      </w:r>
    </w:p>
    <w:p w14:paraId="2E3A23AB" w14:textId="3E5A2387" w:rsidR="001F5CBC" w:rsidRPr="001F5CBC" w:rsidRDefault="001F5CBC" w:rsidP="0093535A">
      <w:pPr>
        <w:pStyle w:val="Title2"/>
      </w:pPr>
      <w:bookmarkStart w:id="62" w:name="_Toc11105548"/>
      <w:r>
        <w:lastRenderedPageBreak/>
        <w:t>3</w:t>
      </w:r>
      <w:r w:rsidRPr="001F5CBC">
        <w:t xml:space="preserve">.  </w:t>
      </w:r>
      <w:r w:rsidRPr="000B1739">
        <w:rPr>
          <w:w w:val="97"/>
        </w:rPr>
        <w:t>Claim “</w:t>
      </w:r>
      <w:r w:rsidR="004F00EB">
        <w:rPr>
          <w:w w:val="97"/>
        </w:rPr>
        <w:t>In A</w:t>
      </w:r>
      <w:r w:rsidR="000B1739" w:rsidRPr="000B1739">
        <w:rPr>
          <w:w w:val="97"/>
        </w:rPr>
        <w:t>bsence of effective C</w:t>
      </w:r>
      <w:r w:rsidRPr="000B1739">
        <w:rPr>
          <w:w w:val="97"/>
        </w:rPr>
        <w:t xml:space="preserve">onsent, </w:t>
      </w:r>
      <w:r w:rsidR="000B1739" w:rsidRPr="000B1739">
        <w:rPr>
          <w:w w:val="97"/>
        </w:rPr>
        <w:t>Intersex People can claim C</w:t>
      </w:r>
      <w:r w:rsidRPr="000B1739">
        <w:rPr>
          <w:w w:val="97"/>
        </w:rPr>
        <w:t>ompensation”</w:t>
      </w:r>
      <w:bookmarkEnd w:id="62"/>
    </w:p>
    <w:p w14:paraId="0777262D" w14:textId="769B7932" w:rsidR="001F5CBC" w:rsidRPr="009B6D3E" w:rsidRDefault="001F5CBC" w:rsidP="00CE680A">
      <w:pPr>
        <w:pStyle w:val="absatzschattenbericht"/>
        <w:numPr>
          <w:ilvl w:val="0"/>
          <w:numId w:val="27"/>
        </w:numPr>
      </w:pPr>
      <w:r w:rsidRPr="00E218B4">
        <w:rPr>
          <w:i/>
        </w:rPr>
        <w:t>6</w:t>
      </w:r>
      <w:r w:rsidR="004F00EB" w:rsidRPr="00E218B4">
        <w:rPr>
          <w:i/>
        </w:rPr>
        <w:t>8</w:t>
      </w:r>
      <w:r w:rsidRPr="00E218B4">
        <w:rPr>
          <w:i/>
        </w:rPr>
        <w:t xml:space="preserve">.  </w:t>
      </w:r>
      <w:r w:rsidR="004F00EB" w:rsidRPr="00E218B4">
        <w:rPr>
          <w:i/>
        </w:rPr>
        <w:t>[…] From a tort law perspective, any medical treatment that harms a person’s physical integrity is considered a bodily injury and therefore unlawful. Only effective consent of the person concerned can justify such an unlawful intervention. In absence of effective consent, it can be assumed that compensation can be claimed for the treatment of intersex people</w:t>
      </w:r>
      <w:r w:rsidR="004F00EB" w:rsidRPr="009B6D3E">
        <w:t>.</w:t>
      </w:r>
    </w:p>
    <w:p w14:paraId="05A0C26C" w14:textId="3D7CBB5A" w:rsidR="00B46253" w:rsidRDefault="00F83C61" w:rsidP="00E218B4">
      <w:pPr>
        <w:pStyle w:val="absatzschattenbericht"/>
        <w:spacing w:after="113"/>
      </w:pPr>
      <w:r>
        <w:t>This claim conveniently ignores the fact that</w:t>
      </w:r>
      <w:r w:rsidR="008474EC">
        <w:t xml:space="preserve">, as </w:t>
      </w:r>
      <w:r w:rsidR="008474EC" w:rsidRPr="00385461">
        <w:rPr>
          <w:b/>
          <w:bCs/>
        </w:rPr>
        <w:t>most intersex children are submitted to surgery in the first years of life</w:t>
      </w:r>
      <w:r w:rsidR="008474EC">
        <w:t>, for IGM survivors</w:t>
      </w:r>
      <w:r>
        <w:t xml:space="preserve"> </w:t>
      </w:r>
      <w:r w:rsidR="00B46253">
        <w:t xml:space="preserve">tort law is a woefully inadequate legal instrument due to the </w:t>
      </w:r>
      <w:r w:rsidR="00B46253" w:rsidRPr="00385461">
        <w:rPr>
          <w:b/>
          <w:bCs/>
        </w:rPr>
        <w:t>statutes of limitations</w:t>
      </w:r>
      <w:r w:rsidR="00B46253">
        <w:t xml:space="preserve"> (see also p. </w:t>
      </w:r>
      <w:r w:rsidR="0090269B">
        <w:t>11</w:t>
      </w:r>
      <w:r w:rsidR="00B46253">
        <w:t xml:space="preserve">). </w:t>
      </w:r>
      <w:r w:rsidR="008474EC">
        <w:t>Also</w:t>
      </w:r>
      <w:r w:rsidR="0090116F">
        <w:t>,</w:t>
      </w:r>
      <w:r w:rsidR="008474EC">
        <w:t xml:space="preserve"> the </w:t>
      </w:r>
      <w:r w:rsidR="008474EC" w:rsidRPr="00385461">
        <w:rPr>
          <w:b/>
          <w:bCs/>
        </w:rPr>
        <w:t>silence of the State party on criminal law</w:t>
      </w:r>
      <w:r w:rsidR="008474EC">
        <w:t xml:space="preserve"> speaks volumes, and begs </w:t>
      </w:r>
      <w:r w:rsidR="000B1739">
        <w:t>the question if the State party would also deem tort law sufficient for eliminating harmful practices other than IGM?</w:t>
      </w:r>
    </w:p>
    <w:p w14:paraId="55344563" w14:textId="6902BF9B" w:rsidR="000B1739" w:rsidRPr="00315E2F" w:rsidRDefault="000B1739" w:rsidP="0093535A">
      <w:pPr>
        <w:pStyle w:val="Title2"/>
      </w:pPr>
      <w:bookmarkStart w:id="63" w:name="_Toc11105549"/>
      <w:r>
        <w:t>4.  Claim “</w:t>
      </w:r>
      <w:r w:rsidRPr="000B1739">
        <w:t xml:space="preserve">There are no statistical </w:t>
      </w:r>
      <w:r>
        <w:t>Data</w:t>
      </w:r>
      <w:r w:rsidRPr="000B1739">
        <w:t xml:space="preserve"> on</w:t>
      </w:r>
      <w:r>
        <w:t xml:space="preserve"> IGM Practices”</w:t>
      </w:r>
      <w:bookmarkEnd w:id="63"/>
    </w:p>
    <w:p w14:paraId="5156CF57" w14:textId="6F294379" w:rsidR="000B1739" w:rsidRPr="009B6D3E" w:rsidRDefault="000B1739" w:rsidP="00CE680A">
      <w:pPr>
        <w:pStyle w:val="absatzschattenbericht"/>
        <w:numPr>
          <w:ilvl w:val="0"/>
          <w:numId w:val="27"/>
        </w:numPr>
      </w:pPr>
      <w:r w:rsidRPr="00E218B4">
        <w:rPr>
          <w:i/>
        </w:rPr>
        <w:t>6</w:t>
      </w:r>
      <w:r w:rsidR="0090116F" w:rsidRPr="00E218B4">
        <w:rPr>
          <w:i/>
        </w:rPr>
        <w:t>9</w:t>
      </w:r>
      <w:r w:rsidRPr="00E218B4">
        <w:rPr>
          <w:i/>
        </w:rPr>
        <w:t xml:space="preserve">.  </w:t>
      </w:r>
      <w:r w:rsidR="0090116F" w:rsidRPr="00E218B4">
        <w:rPr>
          <w:i/>
        </w:rPr>
        <w:t>There are no statistical data on medical and surgical interventions in intersex people</w:t>
      </w:r>
      <w:r w:rsidR="0090116F" w:rsidRPr="009B6D3E">
        <w:t>.</w:t>
      </w:r>
      <w:r w:rsidR="00E218B4">
        <w:t xml:space="preserve">   </w:t>
      </w:r>
    </w:p>
    <w:p w14:paraId="319B7749" w14:textId="338F35DD" w:rsidR="0090116F" w:rsidRPr="0090116F" w:rsidRDefault="000B1739" w:rsidP="00E218B4">
      <w:pPr>
        <w:pStyle w:val="absatzschattenbericht"/>
        <w:spacing w:after="113"/>
        <w:rPr>
          <w:bCs/>
        </w:rPr>
      </w:pPr>
      <w:r>
        <w:t>As mentioned and referenced in our oral statement for the PSWG NGO meeting</w:t>
      </w:r>
      <w:r>
        <w:rPr>
          <w:rStyle w:val="FootnoteReference"/>
          <w:bCs/>
          <w:lang w:val="en-US"/>
        </w:rPr>
        <w:footnoteReference w:id="20"/>
      </w:r>
      <w:r>
        <w:t xml:space="preserve"> </w:t>
      </w:r>
      <w:r w:rsidR="0090116F">
        <w:t xml:space="preserve">and </w:t>
      </w:r>
      <w:r w:rsidR="0090116F">
        <w:rPr>
          <w:bCs/>
        </w:rPr>
        <w:t>in our written answers to Committee questions on intersex during the PSWG NGO meeting,</w:t>
      </w:r>
      <w:r w:rsidR="0090116F">
        <w:rPr>
          <w:rStyle w:val="FootnoteReference"/>
          <w:bCs/>
          <w:lang w:val="en-US"/>
        </w:rPr>
        <w:footnoteReference w:id="21"/>
      </w:r>
      <w:r w:rsidR="0090116F">
        <w:rPr>
          <w:bCs/>
        </w:rPr>
        <w:t xml:space="preserve"> in fact </w:t>
      </w:r>
      <w:r w:rsidR="0090116F" w:rsidRPr="00385461">
        <w:rPr>
          <w:b/>
        </w:rPr>
        <w:t xml:space="preserve">figures and statistics </w:t>
      </w:r>
      <w:r w:rsidR="00385461" w:rsidRPr="00385461">
        <w:rPr>
          <w:b/>
        </w:rPr>
        <w:t xml:space="preserve">on IGM practices </w:t>
      </w:r>
      <w:r w:rsidR="0090116F" w:rsidRPr="00385461">
        <w:rPr>
          <w:b/>
        </w:rPr>
        <w:t>do exist</w:t>
      </w:r>
      <w:r w:rsidR="0090116F">
        <w:rPr>
          <w:bCs/>
        </w:rPr>
        <w:t xml:space="preserve"> </w:t>
      </w:r>
      <w:r w:rsidR="00385461">
        <w:rPr>
          <w:bCs/>
        </w:rPr>
        <w:t>and</w:t>
      </w:r>
      <w:r w:rsidR="0090116F">
        <w:rPr>
          <w:bCs/>
        </w:rPr>
        <w:t xml:space="preserve"> the </w:t>
      </w:r>
      <w:r w:rsidR="0090116F" w:rsidRPr="00385461">
        <w:rPr>
          <w:b/>
        </w:rPr>
        <w:t xml:space="preserve">Government </w:t>
      </w:r>
      <w:r w:rsidR="00385461" w:rsidRPr="00385461">
        <w:rPr>
          <w:b/>
        </w:rPr>
        <w:t>would have access</w:t>
      </w:r>
      <w:r w:rsidR="0090116F">
        <w:rPr>
          <w:bCs/>
        </w:rPr>
        <w:t xml:space="preserve"> </w:t>
      </w:r>
      <w:r w:rsidR="00385461">
        <w:rPr>
          <w:bCs/>
        </w:rPr>
        <w:t>to them. H</w:t>
      </w:r>
      <w:r w:rsidR="0090116F">
        <w:rPr>
          <w:bCs/>
        </w:rPr>
        <w:t xml:space="preserve">owever, the State party </w:t>
      </w:r>
      <w:r w:rsidR="0090116F" w:rsidRPr="00385461">
        <w:rPr>
          <w:b/>
        </w:rPr>
        <w:t>refuses</w:t>
      </w:r>
      <w:r w:rsidR="0090116F">
        <w:rPr>
          <w:bCs/>
        </w:rPr>
        <w:t xml:space="preserve"> to </w:t>
      </w:r>
      <w:r w:rsidR="0090116F">
        <w:rPr>
          <w:bCs/>
        </w:rPr>
        <w:lastRenderedPageBreak/>
        <w:t>disaggregate and disclose them.</w:t>
      </w:r>
    </w:p>
    <w:p w14:paraId="1D05BF7B" w14:textId="77777777" w:rsidR="0098703D" w:rsidRDefault="00A674A2" w:rsidP="00E218B4">
      <w:pPr>
        <w:pStyle w:val="absatzschattenbericht"/>
        <w:spacing w:after="113"/>
      </w:pPr>
      <w:r>
        <w:t>Because</w:t>
      </w:r>
      <w:r w:rsidRPr="00A674A2">
        <w:t xml:space="preserve"> </w:t>
      </w:r>
      <w:r w:rsidRPr="00385461">
        <w:rPr>
          <w:b/>
          <w:bCs/>
        </w:rPr>
        <w:t>IGM procedures are paid for by health insurances</w:t>
      </w:r>
      <w:r w:rsidRPr="00A674A2">
        <w:t xml:space="preserve">, hospitals have to bill the health insurances which then have to pay these bills. Therefore, </w:t>
      </w:r>
      <w:r w:rsidRPr="00385461">
        <w:rPr>
          <w:b/>
          <w:bCs/>
        </w:rPr>
        <w:t>data of numbers and types of interventions</w:t>
      </w:r>
      <w:r w:rsidRPr="00A674A2">
        <w:t xml:space="preserve"> (codified by “OPS-301 Numbers”), </w:t>
      </w:r>
      <w:r w:rsidRPr="00385461">
        <w:rPr>
          <w:b/>
          <w:bCs/>
        </w:rPr>
        <w:t>diagnoses</w:t>
      </w:r>
      <w:r w:rsidRPr="00A674A2">
        <w:t xml:space="preserve"> (codified by ICD-10 Numbers), costs and arguably also on the </w:t>
      </w:r>
      <w:r w:rsidRPr="00385461">
        <w:rPr>
          <w:b/>
          <w:bCs/>
        </w:rPr>
        <w:t>age of the children</w:t>
      </w:r>
      <w:r w:rsidRPr="00A674A2">
        <w:t xml:space="preserve"> who are submitted to IGM is </w:t>
      </w:r>
      <w:r w:rsidRPr="00385461">
        <w:rPr>
          <w:b/>
          <w:bCs/>
        </w:rPr>
        <w:t>obviously recorded and stored</w:t>
      </w:r>
      <w:r w:rsidRPr="00A674A2">
        <w:t xml:space="preserve">, and would be available to the government. </w:t>
      </w:r>
      <w:r>
        <w:t xml:space="preserve">This is also evident by partial data published in </w:t>
      </w:r>
      <w:r w:rsidRPr="00FD3B09">
        <w:t xml:space="preserve">annual </w:t>
      </w:r>
      <w:r w:rsidRPr="00385461">
        <w:rPr>
          <w:b/>
          <w:bCs/>
        </w:rPr>
        <w:t>“Quality Reports” of individual hospitals</w:t>
      </w:r>
      <w:r>
        <w:t>,</w:t>
      </w:r>
      <w:r w:rsidRPr="0090116F">
        <w:rPr>
          <w:vertAlign w:val="superscript"/>
        </w:rPr>
        <w:footnoteReference w:id="22"/>
      </w:r>
      <w:r>
        <w:t xml:space="preserve"> and by the </w:t>
      </w:r>
      <w:r w:rsidRPr="00385461">
        <w:rPr>
          <w:b/>
          <w:bCs/>
        </w:rPr>
        <w:t>testimony</w:t>
      </w:r>
      <w:r>
        <w:t xml:space="preserve"> of </w:t>
      </w:r>
      <w:r w:rsidRPr="00A674A2">
        <w:t xml:space="preserve">Platform Intersex Austria </w:t>
      </w:r>
      <w:r w:rsidR="003F7A72">
        <w:t>(PIÖ) co-chair and jurist</w:t>
      </w:r>
      <w:r w:rsidRPr="00A674A2">
        <w:t xml:space="preserve"> </w:t>
      </w:r>
      <w:r w:rsidRPr="00385461">
        <w:rPr>
          <w:b/>
          <w:bCs/>
        </w:rPr>
        <w:t>Eva Matt</w:t>
      </w:r>
      <w:r w:rsidRPr="00A674A2">
        <w:t>:</w:t>
      </w:r>
    </w:p>
    <w:p w14:paraId="02BEC0AA" w14:textId="601A912B" w:rsidR="00BD7771" w:rsidRPr="00E218B4" w:rsidRDefault="00BD7771" w:rsidP="00E218B4">
      <w:pPr>
        <w:pStyle w:val="absatzschattenbericht"/>
        <w:ind w:left="284"/>
        <w:rPr>
          <w:i/>
        </w:rPr>
      </w:pPr>
      <w:r w:rsidRPr="00E218B4">
        <w:rPr>
          <w:i/>
        </w:rPr>
        <w:t>“</w:t>
      </w:r>
      <w:r w:rsidR="0098703D" w:rsidRPr="00E218B4">
        <w:rPr>
          <w:b/>
          <w:i/>
        </w:rPr>
        <w:t>Eva Matt:</w:t>
      </w:r>
      <w:r w:rsidR="0098703D" w:rsidRPr="00E218B4">
        <w:rPr>
          <w:i/>
        </w:rPr>
        <w:t xml:space="preserve"> […] </w:t>
      </w:r>
      <w:r w:rsidR="00A674A2" w:rsidRPr="00E218B4">
        <w:rPr>
          <w:i/>
        </w:rPr>
        <w:t>We have no current data, we do not know exactly how many of these surgeries are performed per year. It is clear that some are done. [...]</w:t>
      </w:r>
    </w:p>
    <w:p w14:paraId="5B8646BB" w14:textId="6706457C" w:rsidR="00BD7771" w:rsidRPr="00E218B4" w:rsidRDefault="00BD7771" w:rsidP="00E218B4">
      <w:pPr>
        <w:pStyle w:val="absatzschattenbericht"/>
        <w:ind w:left="284"/>
        <w:rPr>
          <w:i/>
        </w:rPr>
      </w:pPr>
      <w:r w:rsidRPr="00E218B4">
        <w:rPr>
          <w:i/>
        </w:rPr>
        <w:t>FM4: It surprises me that there are no facts and figures in Austria, no one is writing down how many operations are taking place, does that strike you as curious as well?</w:t>
      </w:r>
    </w:p>
    <w:p w14:paraId="7299D39C" w14:textId="11593F74" w:rsidR="00A674A2" w:rsidRPr="005F1112" w:rsidRDefault="00BD7771" w:rsidP="00E218B4">
      <w:pPr>
        <w:pStyle w:val="absatzschattenbericht"/>
        <w:ind w:left="284"/>
      </w:pPr>
      <w:r w:rsidRPr="00E218B4">
        <w:rPr>
          <w:b/>
          <w:i/>
          <w:iCs/>
        </w:rPr>
        <w:t>Eva Matt:</w:t>
      </w:r>
      <w:r w:rsidRPr="00E218B4">
        <w:rPr>
          <w:i/>
          <w:iCs/>
        </w:rPr>
        <w:t xml:space="preserve"> </w:t>
      </w:r>
      <w:r w:rsidR="0098703D" w:rsidRPr="00E218B4">
        <w:rPr>
          <w:i/>
          <w:iCs/>
        </w:rPr>
        <w:t>That is still</w:t>
      </w:r>
      <w:r w:rsidR="0098703D" w:rsidRPr="00E218B4">
        <w:rPr>
          <w:i/>
        </w:rPr>
        <w:t xml:space="preserve"> astonishing for me, all surgeries, all interventions</w:t>
      </w:r>
      <w:r w:rsidR="00A674A2" w:rsidRPr="00E218B4">
        <w:rPr>
          <w:i/>
        </w:rPr>
        <w:t xml:space="preserve"> that are performed in Austria </w:t>
      </w:r>
      <w:r w:rsidR="00A674A2" w:rsidRPr="00E218B4">
        <w:rPr>
          <w:b/>
          <w:i/>
        </w:rPr>
        <w:t>have to be billed via health insurance companies</w:t>
      </w:r>
      <w:r w:rsidR="00A674A2" w:rsidRPr="00E218B4">
        <w:rPr>
          <w:i/>
        </w:rPr>
        <w:t xml:space="preserve"> or have to appear in </w:t>
      </w:r>
      <w:r w:rsidR="00A674A2" w:rsidRPr="00E218B4">
        <w:rPr>
          <w:b/>
          <w:i/>
        </w:rPr>
        <w:t>hospital statistics</w:t>
      </w:r>
      <w:r w:rsidR="00A674A2" w:rsidRPr="00E218B4">
        <w:rPr>
          <w:i/>
        </w:rPr>
        <w:t xml:space="preserve"> in some kind of code. These codes should actually be</w:t>
      </w:r>
      <w:r w:rsidR="00A674A2" w:rsidRPr="00E218B4">
        <w:rPr>
          <w:b/>
          <w:i/>
        </w:rPr>
        <w:t xml:space="preserve"> able to be queried by a ministry or a hospital operator.</w:t>
      </w:r>
      <w:r w:rsidR="00A674A2" w:rsidRPr="00E218B4">
        <w:rPr>
          <w:i/>
        </w:rPr>
        <w:t>”</w:t>
      </w:r>
      <w:r w:rsidR="00A674A2" w:rsidRPr="005F1112">
        <w:rPr>
          <w:vertAlign w:val="superscript"/>
        </w:rPr>
        <w:t xml:space="preserve"> </w:t>
      </w:r>
      <w:r w:rsidR="00A674A2" w:rsidRPr="005F1112">
        <w:rPr>
          <w:vertAlign w:val="superscript"/>
          <w:lang w:val="de-CH"/>
        </w:rPr>
        <w:footnoteReference w:id="23"/>
      </w:r>
    </w:p>
    <w:p w14:paraId="1040D60F" w14:textId="40390829" w:rsidR="000B1739" w:rsidRPr="0090116F" w:rsidRDefault="005F25D1" w:rsidP="00CE680A">
      <w:pPr>
        <w:pStyle w:val="absatzschattenbericht"/>
      </w:pPr>
      <w:r>
        <w:t xml:space="preserve">Conclusion, </w:t>
      </w:r>
      <w:r w:rsidRPr="00E218B4">
        <w:rPr>
          <w:b/>
        </w:rPr>
        <w:t xml:space="preserve">if </w:t>
      </w:r>
      <w:r w:rsidR="00A674A2" w:rsidRPr="00E218B4">
        <w:rPr>
          <w:b/>
        </w:rPr>
        <w:t xml:space="preserve">the State party </w:t>
      </w:r>
      <w:r w:rsidRPr="00E218B4">
        <w:rPr>
          <w:b/>
        </w:rPr>
        <w:t xml:space="preserve">was willing, it could easily </w:t>
      </w:r>
      <w:r w:rsidR="00A674A2" w:rsidRPr="00E218B4">
        <w:rPr>
          <w:b/>
        </w:rPr>
        <w:t>disclose such data</w:t>
      </w:r>
      <w:r w:rsidR="00A674A2" w:rsidRPr="00A674A2">
        <w:t xml:space="preserve"> publicly in an appropriate way, e.g. anonymised but </w:t>
      </w:r>
      <w:r w:rsidR="00A674A2" w:rsidRPr="00E218B4">
        <w:rPr>
          <w:b/>
        </w:rPr>
        <w:t>disaggregated b</w:t>
      </w:r>
      <w:r w:rsidR="00385461" w:rsidRPr="00E218B4">
        <w:rPr>
          <w:b/>
        </w:rPr>
        <w:t>y type of intervention, diagnosi</w:t>
      </w:r>
      <w:r w:rsidR="00A674A2" w:rsidRPr="00E218B4">
        <w:rPr>
          <w:b/>
        </w:rPr>
        <w:t>s</w:t>
      </w:r>
      <w:r w:rsidR="00A674A2" w:rsidRPr="00385461">
        <w:t xml:space="preserve">, </w:t>
      </w:r>
      <w:r w:rsidR="00A674A2" w:rsidRPr="00E218B4">
        <w:rPr>
          <w:b/>
        </w:rPr>
        <w:t>age</w:t>
      </w:r>
      <w:r w:rsidR="00A674A2" w:rsidRPr="00385461">
        <w:t xml:space="preserve"> of the child, </w:t>
      </w:r>
      <w:r w:rsidR="00A674A2" w:rsidRPr="00E218B4">
        <w:rPr>
          <w:b/>
        </w:rPr>
        <w:t>region/hospital</w:t>
      </w:r>
      <w:r w:rsidR="00A674A2" w:rsidRPr="00385461">
        <w:t xml:space="preserve"> and </w:t>
      </w:r>
      <w:r w:rsidR="00A674A2" w:rsidRPr="00E218B4">
        <w:rPr>
          <w:b/>
        </w:rPr>
        <w:t>costs</w:t>
      </w:r>
      <w:r w:rsidR="008A3A19">
        <w:t xml:space="preserve"> (s</w:t>
      </w:r>
      <w:r>
        <w:t xml:space="preserve">ee also p. </w:t>
      </w:r>
      <w:r w:rsidR="0090269B">
        <w:t>13</w:t>
      </w:r>
      <w:r w:rsidR="008A3A19">
        <w:t>)</w:t>
      </w:r>
      <w:r w:rsidR="00A674A2" w:rsidRPr="00A674A2">
        <w:t>.</w:t>
      </w:r>
    </w:p>
    <w:p w14:paraId="01B47715" w14:textId="77777777" w:rsidR="009F63E7" w:rsidRPr="00550582" w:rsidRDefault="009F63E7" w:rsidP="00CE680A">
      <w:pPr>
        <w:pStyle w:val="absatzschattenbericht"/>
      </w:pPr>
    </w:p>
    <w:p w14:paraId="7749DCAF" w14:textId="3915AF6A" w:rsidR="007874DB" w:rsidRPr="008521EA" w:rsidRDefault="007874DB" w:rsidP="007874DB">
      <w:pPr>
        <w:pStyle w:val="Title1"/>
        <w:rPr>
          <w:rFonts w:eastAsia="Baskerville-Italic" w:cs="Baskerville-Italic"/>
          <w:sz w:val="36"/>
          <w:szCs w:val="36"/>
          <w:lang w:val="en-GB"/>
        </w:rPr>
      </w:pPr>
      <w:bookmarkStart w:id="64" w:name="_Toc475924584"/>
      <w:bookmarkStart w:id="65" w:name="_Toc475924761"/>
      <w:bookmarkStart w:id="66" w:name="_Toc505194870"/>
      <w:bookmarkStart w:id="67" w:name="_Toc11105550"/>
      <w:r w:rsidRPr="008521EA">
        <w:rPr>
          <w:sz w:val="36"/>
          <w:szCs w:val="36"/>
          <w:lang w:val="en-GB"/>
        </w:rPr>
        <w:lastRenderedPageBreak/>
        <w:t xml:space="preserve">Suggested </w:t>
      </w:r>
      <w:bookmarkEnd w:id="64"/>
      <w:bookmarkEnd w:id="65"/>
      <w:bookmarkEnd w:id="66"/>
      <w:r w:rsidR="009C4749">
        <w:rPr>
          <w:sz w:val="36"/>
          <w:szCs w:val="36"/>
          <w:lang w:val="en-GB"/>
        </w:rPr>
        <w:t>Recommendations</w:t>
      </w:r>
      <w:bookmarkEnd w:id="67"/>
    </w:p>
    <w:p w14:paraId="67A4239A" w14:textId="77777777" w:rsidR="007874DB" w:rsidRPr="008521EA" w:rsidRDefault="007874DB" w:rsidP="00CE680A">
      <w:pPr>
        <w:pStyle w:val="absatzschattenbericht"/>
      </w:pPr>
    </w:p>
    <w:p w14:paraId="5738E520" w14:textId="62FD7C4F" w:rsidR="009C4749" w:rsidRPr="00553E82" w:rsidRDefault="009C4749" w:rsidP="00CE680A">
      <w:pPr>
        <w:pStyle w:val="absatzschattenbericht"/>
        <w:rPr>
          <w:i/>
        </w:rPr>
      </w:pPr>
      <w:r w:rsidRPr="00553E82">
        <w:rPr>
          <w:i/>
        </w:rPr>
        <w:t>The Rapporteurs respectfully suggest that, with respect to the treatment of intersex persons in Austria, the Committee includes the following measures in their recommendations to the Austrian Government (in line with this Committee’s previous recommendations, and with CAT’s previous recommendations to Austria):</w:t>
      </w:r>
      <w:r w:rsidR="00553E82">
        <w:rPr>
          <w:i/>
        </w:rPr>
        <w:t xml:space="preserve">  </w:t>
      </w:r>
    </w:p>
    <w:p w14:paraId="4F9FDD73" w14:textId="77777777" w:rsidR="009C4749" w:rsidRPr="00FD2506" w:rsidRDefault="009C4749" w:rsidP="00CE680A">
      <w:pPr>
        <w:pStyle w:val="absatzschattenbericht"/>
      </w:pPr>
    </w:p>
    <w:p w14:paraId="2918D8E1" w14:textId="3196D9E9" w:rsidR="00E32213" w:rsidRPr="00553E82" w:rsidRDefault="00E32213" w:rsidP="00553E82">
      <w:pPr>
        <w:pStyle w:val="absatzschattenbericht"/>
        <w:spacing w:after="113"/>
        <w:rPr>
          <w:rFonts w:ascii="Baskerville" w:hAnsi="Baskerville" w:cs="Times New Roman"/>
          <w:b/>
        </w:rPr>
      </w:pPr>
      <w:r w:rsidRPr="00553E82">
        <w:rPr>
          <w:b/>
        </w:rPr>
        <w:t>Harmful Practices: Intersex genital mutilation (art. 5)</w:t>
      </w:r>
      <w:r w:rsidR="00553E82" w:rsidRPr="00553E82">
        <w:rPr>
          <w:b/>
        </w:rPr>
        <w:t xml:space="preserve">   </w:t>
      </w:r>
    </w:p>
    <w:p w14:paraId="6A6999C6" w14:textId="751FEEBF" w:rsidR="00E32213" w:rsidRPr="00E32213" w:rsidRDefault="00E32213" w:rsidP="00553E82">
      <w:pPr>
        <w:pStyle w:val="absatzschattenbericht"/>
        <w:spacing w:after="113"/>
      </w:pPr>
      <w:r w:rsidRPr="00E32213">
        <w:t xml:space="preserve">The Committee </w:t>
      </w:r>
      <w:r w:rsidR="008321E2">
        <w:t>is</w:t>
      </w:r>
      <w:r w:rsidRPr="00E32213">
        <w:t xml:space="preserve"> concerned about reports that unnecessary and irreversible surgery and other medical treatments performed on intersex children without their informed consent and impartial counselling. It is concerned that such procedures, which cause long-term physical and psychological suffering, have not been the object of any inquiry, sanction or reparation and that there are no specific legal provisions providing redress and rehabilitation to the victims (art. 5).</w:t>
      </w:r>
    </w:p>
    <w:p w14:paraId="3F99BFE7" w14:textId="026844B1" w:rsidR="008321E2" w:rsidRPr="00553E82" w:rsidRDefault="008321E2" w:rsidP="00553E82">
      <w:pPr>
        <w:pStyle w:val="absatzschattenbericht"/>
        <w:spacing w:after="113"/>
        <w:rPr>
          <w:b/>
        </w:rPr>
      </w:pPr>
      <w:r w:rsidRPr="00553E82">
        <w:rPr>
          <w:b/>
        </w:rPr>
        <w:t xml:space="preserve">In the light of its joint general comment No. 31 (2014) and No. 18 of the Committee on the Rights of the Child on harmful practices, </w:t>
      </w:r>
      <w:r w:rsidR="00FD2506" w:rsidRPr="00553E82">
        <w:rPr>
          <w:b/>
        </w:rPr>
        <w:t xml:space="preserve">and </w:t>
      </w:r>
      <w:r w:rsidR="00FD2506" w:rsidRPr="00553E82">
        <w:rPr>
          <w:b/>
          <w:lang w:val="en-US"/>
        </w:rPr>
        <w:t>taking into account target 5.3 of the Sustainable Development Goals, t</w:t>
      </w:r>
      <w:r w:rsidRPr="00553E82">
        <w:rPr>
          <w:b/>
        </w:rPr>
        <w:t>he Committee recommends that the State party:</w:t>
      </w:r>
    </w:p>
    <w:p w14:paraId="0863E0D4" w14:textId="169036F6" w:rsidR="008321E2" w:rsidRPr="00553E82" w:rsidRDefault="008321E2" w:rsidP="00CE680A">
      <w:pPr>
        <w:pStyle w:val="absatzschattenbericht"/>
        <w:numPr>
          <w:ilvl w:val="0"/>
          <w:numId w:val="28"/>
        </w:numPr>
        <w:rPr>
          <w:b/>
        </w:rPr>
      </w:pPr>
      <w:r w:rsidRPr="00553E82">
        <w:rPr>
          <w:b/>
        </w:rPr>
        <w:t xml:space="preserve">Adopt clear legislative provisions explicitly prohibiting the performance of unnecessary surgical or other medical treatment on intersex children before they </w:t>
      </w:r>
      <w:r w:rsidRPr="00553E82">
        <w:rPr>
          <w:b/>
          <w:lang w:val="en-US"/>
        </w:rPr>
        <w:t>reach</w:t>
      </w:r>
      <w:r w:rsidRPr="00553E82">
        <w:rPr>
          <w:b/>
        </w:rPr>
        <w:t xml:space="preserve"> the legal age of consent, provide families with intersex children with adequate counselling and support, and provide redress to intersex persons having undergone such treatment, including adequate </w:t>
      </w:r>
      <w:r w:rsidRPr="00553E82">
        <w:rPr>
          <w:b/>
        </w:rPr>
        <w:lastRenderedPageBreak/>
        <w:t>compensation.</w:t>
      </w:r>
    </w:p>
    <w:p w14:paraId="40449483" w14:textId="652E3C35" w:rsidR="00550582" w:rsidRDefault="00550582">
      <w:pPr>
        <w:widowControl/>
        <w:suppressAutoHyphens w:val="0"/>
        <w:textAlignment w:val="auto"/>
        <w:rPr>
          <w:rFonts w:eastAsia="Baskerville" w:cs="Baskerville"/>
          <w:color w:val="000000"/>
          <w:spacing w:val="2"/>
          <w:lang w:val="en-GB"/>
        </w:rPr>
      </w:pPr>
      <w:r>
        <w:rPr>
          <w:rFonts w:eastAsia="Baskerville" w:cs="Baskerville"/>
          <w:color w:val="000000"/>
          <w:spacing w:val="2"/>
          <w:lang w:val="en-GB"/>
        </w:rPr>
        <w:br w:type="page"/>
      </w:r>
    </w:p>
    <w:p w14:paraId="60CC89ED" w14:textId="2D80B3E9" w:rsidR="00550582" w:rsidRPr="00AD3CED" w:rsidRDefault="008345BB" w:rsidP="00550582">
      <w:pPr>
        <w:pStyle w:val="Title1"/>
        <w:rPr>
          <w:lang w:val="en-US"/>
        </w:rPr>
      </w:pPr>
      <w:bookmarkStart w:id="68" w:name="_Toc6284927"/>
      <w:bookmarkStart w:id="69" w:name="_Toc11105551"/>
      <w:r>
        <w:rPr>
          <w:lang w:val="en-US"/>
        </w:rPr>
        <w:lastRenderedPageBreak/>
        <w:t>Annexe</w:t>
      </w:r>
      <w:r w:rsidR="00550582">
        <w:rPr>
          <w:lang w:val="en-US"/>
        </w:rPr>
        <w:t xml:space="preserve"> – </w:t>
      </w:r>
      <w:r w:rsidR="00550582" w:rsidRPr="00AD3CED">
        <w:rPr>
          <w:lang w:val="en-US"/>
        </w:rPr>
        <w:t>“IGM in M</w:t>
      </w:r>
      <w:r w:rsidR="00550582">
        <w:rPr>
          <w:lang w:val="en-US"/>
        </w:rPr>
        <w:t>edical Textbooks</w:t>
      </w:r>
      <w:r w:rsidR="00550582" w:rsidRPr="00AD3CED">
        <w:rPr>
          <w:lang w:val="en-US"/>
        </w:rPr>
        <w:t>: Current Practice”</w:t>
      </w:r>
      <w:bookmarkEnd w:id="68"/>
      <w:bookmarkEnd w:id="69"/>
    </w:p>
    <w:p w14:paraId="21D4300D" w14:textId="77777777" w:rsidR="00550582" w:rsidRPr="0096134E" w:rsidRDefault="00550582" w:rsidP="0093535A">
      <w:pPr>
        <w:pStyle w:val="Title3"/>
      </w:pPr>
      <w:bookmarkStart w:id="70" w:name="_Toc453620774"/>
      <w:bookmarkStart w:id="71" w:name="_Toc6284928"/>
      <w:bookmarkStart w:id="72" w:name="_Toc11105552"/>
      <w:r>
        <w:t>IGM 1 – “Masculinising Surgery”: “Hypospadias Repair”</w:t>
      </w:r>
      <w:bookmarkEnd w:id="70"/>
      <w:bookmarkEnd w:id="71"/>
      <w:bookmarkEnd w:id="72"/>
    </w:p>
    <w:p w14:paraId="64442C3A" w14:textId="77777777" w:rsidR="00550582" w:rsidRPr="000A5A49" w:rsidRDefault="00550582" w:rsidP="00550582">
      <w:pPr>
        <w:autoSpaceDE w:val="0"/>
        <w:spacing w:before="120" w:after="200" w:line="288" w:lineRule="auto"/>
        <w:jc w:val="both"/>
        <w:textAlignment w:val="center"/>
        <w:rPr>
          <w:rFonts w:ascii="Arial" w:eastAsia="Arial-BoldMT" w:hAnsi="Arial" w:cs="Arial"/>
          <w:b/>
          <w:bCs/>
          <w:color w:val="000000"/>
          <w:spacing w:val="2"/>
          <w:w w:val="90"/>
          <w:kern w:val="24"/>
          <w:lang w:val="en-GB"/>
        </w:rPr>
      </w:pPr>
      <w:r w:rsidRPr="000A5A49">
        <w:rPr>
          <w:rFonts w:ascii="Arial" w:eastAsia="Arial" w:hAnsi="Arial" w:cs="Arial"/>
          <w:b/>
          <w:bCs/>
          <w:color w:val="000000"/>
          <w:spacing w:val="2"/>
          <w:w w:val="90"/>
          <w:kern w:val="24"/>
          <w:lang w:val="en-GB"/>
        </w:rPr>
        <w:t>“</w:t>
      </w:r>
      <w:r w:rsidRPr="000A5A49">
        <w:rPr>
          <w:rFonts w:ascii="Arial" w:eastAsia="Arial-BoldMT" w:hAnsi="Arial" w:cs="Arial"/>
          <w:b/>
          <w:bCs/>
          <w:color w:val="000000"/>
          <w:spacing w:val="2"/>
          <w:w w:val="90"/>
          <w:kern w:val="24"/>
          <w:lang w:val="en-GB"/>
        </w:rPr>
        <w:t xml:space="preserve">Hypospadias,” i.e. when the urethral opening is not on the tip of the penis, but somewhere on the underside between the tip and the scrotum, is arguably the most prevalent diagnosis for cosmetic genital surgeries. Procedures include dissection of the penis to “relocate” the urinary meatus. Very high complication rates, as well as repeated </w:t>
      </w:r>
      <w:r w:rsidRPr="000A5A49">
        <w:rPr>
          <w:rFonts w:ascii="Arial" w:eastAsia="Arial-BoldMT" w:hAnsi="Arial" w:cs="Arial"/>
          <w:b/>
          <w:bCs/>
          <w:i/>
          <w:color w:val="000000"/>
          <w:spacing w:val="2"/>
          <w:w w:val="90"/>
          <w:kern w:val="24"/>
          <w:lang w:val="en-GB"/>
        </w:rPr>
        <w:t xml:space="preserve">“redo procedures” </w:t>
      </w:r>
      <w:r w:rsidRPr="000A5A49">
        <w:rPr>
          <w:rFonts w:ascii="Arial" w:eastAsia="Arial-BoldMT" w:hAnsi="Arial" w:cs="Arial"/>
          <w:b/>
          <w:bCs/>
          <w:color w:val="000000"/>
          <w:spacing w:val="2"/>
          <w:w w:val="90"/>
          <w:kern w:val="24"/>
          <w:lang w:val="en-GB"/>
        </w:rPr>
        <w:t xml:space="preserve">— </w:t>
      </w:r>
      <w:r w:rsidRPr="000A5A49">
        <w:rPr>
          <w:rFonts w:ascii="Arial" w:eastAsia="Arial-BoldMT" w:hAnsi="Arial" w:cs="Arial"/>
          <w:b/>
          <w:bCs/>
          <w:i/>
          <w:color w:val="000000"/>
          <w:spacing w:val="2"/>
          <w:w w:val="90"/>
          <w:kern w:val="24"/>
          <w:lang w:val="en-GB"/>
        </w:rPr>
        <w:t>“5.8 operations (mean) along their lives … and still most of them are not satisfied with results!”</w:t>
      </w:r>
    </w:p>
    <w:p w14:paraId="26618E2E" w14:textId="77777777" w:rsidR="00550582" w:rsidRPr="00F35BDB" w:rsidRDefault="00550582" w:rsidP="00550582">
      <w:pPr>
        <w:autoSpaceDE w:val="0"/>
        <w:spacing w:before="120" w:after="200" w:line="288" w:lineRule="auto"/>
        <w:jc w:val="both"/>
        <w:textAlignment w:val="center"/>
        <w:rPr>
          <w:lang w:val="en-US"/>
        </w:rPr>
      </w:pPr>
      <w:r>
        <w:rPr>
          <w:rFonts w:ascii="Arial" w:eastAsia="Arial-BoldMT" w:hAnsi="Arial" w:cs="Arial"/>
          <w:b/>
          <w:bCs/>
          <w:color w:val="000000"/>
          <w:spacing w:val="2"/>
          <w:w w:val="90"/>
          <w:lang w:val="en-GB"/>
        </w:rPr>
        <w:t xml:space="preserve">Nonetheless, clinicians recommend these surgeries without medical need explicitly </w:t>
      </w:r>
      <w:r>
        <w:rPr>
          <w:rFonts w:ascii="Arial" w:eastAsia="Arial-BoldMT" w:hAnsi="Arial" w:cs="Arial"/>
          <w:b/>
          <w:bCs/>
          <w:i/>
          <w:color w:val="000000"/>
          <w:spacing w:val="2"/>
          <w:w w:val="90"/>
          <w:lang w:val="en-GB"/>
        </w:rPr>
        <w:t>“for psychological and aesthetic reasons.”</w:t>
      </w:r>
      <w:r>
        <w:rPr>
          <w:rFonts w:ascii="Arial" w:eastAsia="Arial-BoldMT" w:hAnsi="Arial" w:cs="Arial"/>
          <w:b/>
          <w:bCs/>
          <w:color w:val="000000"/>
          <w:spacing w:val="2"/>
          <w:w w:val="90"/>
          <w:lang w:val="en-GB"/>
        </w:rPr>
        <w:t xml:space="preserve"> Most hospitals advise early surgeries, usually </w:t>
      </w:r>
      <w:r>
        <w:rPr>
          <w:rFonts w:ascii="Arial" w:eastAsia="Arial-BoldMT" w:hAnsi="Arial" w:cs="Arial"/>
          <w:b/>
          <w:bCs/>
          <w:i/>
          <w:color w:val="000000"/>
          <w:spacing w:val="2"/>
          <w:w w:val="90"/>
          <w:lang w:val="en-GB"/>
        </w:rPr>
        <w:t xml:space="preserve">“between 12 and 24 months of age.” </w:t>
      </w:r>
      <w:r>
        <w:rPr>
          <w:rFonts w:ascii="Arial" w:eastAsia="Arial-BoldMT" w:hAnsi="Arial" w:cs="Arial"/>
          <w:b/>
          <w:bCs/>
          <w:color w:val="000000"/>
          <w:spacing w:val="2"/>
          <w:w w:val="90"/>
          <w:lang w:val="en-GB"/>
        </w:rPr>
        <w:t>While survivors criticise a.o. impairment or total loss of sexual sensation and painful scars, doctors still fail to provide evidence of benefit for the recipients of the surgeries.</w:t>
      </w:r>
    </w:p>
    <w:p w14:paraId="07983DC7" w14:textId="77777777" w:rsidR="00550582" w:rsidRDefault="00550582" w:rsidP="00550582">
      <w:pPr>
        <w:pStyle w:val="KeinAbsatzformat"/>
        <w:spacing w:after="113"/>
        <w:jc w:val="center"/>
        <w:rPr>
          <w:rFonts w:eastAsia="Arial-BoldMT" w:cs="Arial"/>
          <w:b/>
          <w:spacing w:val="2"/>
          <w:w w:val="90"/>
          <w:lang w:val="de-CH" w:bidi="ar-SA"/>
        </w:rPr>
      </w:pPr>
      <w:r>
        <w:rPr>
          <w:rFonts w:eastAsia="Arial-BoldMT" w:cs="Arial"/>
          <w:b/>
          <w:noProof/>
          <w:spacing w:val="2"/>
          <w:w w:val="90"/>
          <w:lang w:val="en-GB" w:eastAsia="en-GB" w:bidi="ar-SA"/>
        </w:rPr>
        <w:drawing>
          <wp:inline distT="0" distB="0" distL="0" distR="0" wp14:anchorId="7C7687A6" wp14:editId="6A3ED913">
            <wp:extent cx="3589020" cy="2341245"/>
            <wp:effectExtent l="0" t="0" r="0" b="0"/>
            <wp:docPr id="2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9020" cy="2341245"/>
                    </a:xfrm>
                    <a:prstGeom prst="rect">
                      <a:avLst/>
                    </a:prstGeom>
                    <a:solidFill>
                      <a:srgbClr val="FFFFFF"/>
                    </a:solidFill>
                    <a:ln>
                      <a:noFill/>
                    </a:ln>
                  </pic:spPr>
                </pic:pic>
              </a:graphicData>
            </a:graphic>
          </wp:inline>
        </w:drawing>
      </w:r>
      <w:r>
        <w:rPr>
          <w:rFonts w:eastAsia="Arial-BoldMT" w:cs="Arial"/>
          <w:b/>
          <w:noProof/>
          <w:spacing w:val="2"/>
          <w:w w:val="90"/>
          <w:lang w:val="en-GB" w:eastAsia="en-GB" w:bidi="ar-SA"/>
        </w:rPr>
        <w:lastRenderedPageBreak/>
        <w:drawing>
          <wp:inline distT="0" distB="0" distL="0" distR="0" wp14:anchorId="081A8BCB" wp14:editId="7D718EB5">
            <wp:extent cx="3597910" cy="2879725"/>
            <wp:effectExtent l="0" t="0" r="0" b="0"/>
            <wp:docPr id="10"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7910" cy="2879725"/>
                    </a:xfrm>
                    <a:prstGeom prst="rect">
                      <a:avLst/>
                    </a:prstGeom>
                    <a:solidFill>
                      <a:srgbClr val="FFFFFF"/>
                    </a:solidFill>
                    <a:ln>
                      <a:noFill/>
                    </a:ln>
                  </pic:spPr>
                </pic:pic>
              </a:graphicData>
            </a:graphic>
          </wp:inline>
        </w:drawing>
      </w:r>
    </w:p>
    <w:p w14:paraId="76869E35" w14:textId="77777777" w:rsidR="00550582" w:rsidRDefault="00550582" w:rsidP="00550582">
      <w:pPr>
        <w:pStyle w:val="KeinAbsatzformat"/>
        <w:spacing w:after="113"/>
        <w:jc w:val="center"/>
        <w:rPr>
          <w:rFonts w:eastAsia="Arial-BoldMT" w:cs="Arial"/>
          <w:b/>
          <w:bCs/>
          <w:spacing w:val="4"/>
          <w:w w:val="85"/>
          <w:sz w:val="20"/>
          <w:szCs w:val="20"/>
          <w:lang w:val="en-US"/>
        </w:rPr>
      </w:pPr>
      <w:r>
        <w:rPr>
          <w:rFonts w:eastAsia="Arial-BoldMT" w:cs="Arial"/>
          <w:b/>
          <w:spacing w:val="2"/>
          <w:w w:val="90"/>
          <w:lang w:val="de-CH" w:bidi="ar-SA"/>
        </w:rPr>
        <w:br w:type="page"/>
      </w:r>
      <w:r>
        <w:rPr>
          <w:rFonts w:eastAsia="Arial-BoldMT" w:cs="Arial"/>
          <w:b/>
          <w:noProof/>
          <w:spacing w:val="4"/>
          <w:w w:val="85"/>
          <w:sz w:val="20"/>
          <w:szCs w:val="20"/>
          <w:lang w:val="en-GB" w:eastAsia="en-GB" w:bidi="ar-SA"/>
        </w:rPr>
        <w:lastRenderedPageBreak/>
        <w:drawing>
          <wp:inline distT="0" distB="0" distL="0" distR="0" wp14:anchorId="087CBD27" wp14:editId="34713D56">
            <wp:extent cx="3597910" cy="2435860"/>
            <wp:effectExtent l="0" t="0" r="0" b="0"/>
            <wp:docPr id="11"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7910" cy="2435860"/>
                    </a:xfrm>
                    <a:prstGeom prst="rect">
                      <a:avLst/>
                    </a:prstGeom>
                    <a:solidFill>
                      <a:srgbClr val="FFFFFF"/>
                    </a:solidFill>
                    <a:ln>
                      <a:noFill/>
                    </a:ln>
                  </pic:spPr>
                </pic:pic>
              </a:graphicData>
            </a:graphic>
          </wp:inline>
        </w:drawing>
      </w:r>
    </w:p>
    <w:p w14:paraId="257049D2" w14:textId="77777777" w:rsidR="00550582" w:rsidRDefault="00550582" w:rsidP="00550582">
      <w:pPr>
        <w:autoSpaceDE w:val="0"/>
        <w:spacing w:line="288" w:lineRule="auto"/>
        <w:jc w:val="center"/>
        <w:textAlignment w:val="center"/>
        <w:rPr>
          <w:rFonts w:ascii="Arial" w:eastAsia="Arial-BoldMT" w:hAnsi="Arial" w:cs="Arial"/>
          <w:b/>
          <w:bCs/>
          <w:color w:val="AF1D1F"/>
          <w:spacing w:val="4"/>
          <w:w w:val="85"/>
          <w:sz w:val="20"/>
          <w:szCs w:val="20"/>
          <w:lang w:val="en-US"/>
        </w:rPr>
      </w:pPr>
      <w:r>
        <w:rPr>
          <w:rFonts w:ascii="Arial" w:eastAsia="Arial-BoldMT" w:hAnsi="Arial" w:cs="Arial"/>
          <w:b/>
          <w:bCs/>
          <w:color w:val="000000"/>
          <w:spacing w:val="4"/>
          <w:w w:val="85"/>
          <w:sz w:val="20"/>
          <w:szCs w:val="20"/>
          <w:lang w:val="en-US"/>
        </w:rPr>
        <w:t xml:space="preserve">Official Diagnosis </w:t>
      </w:r>
      <w:r>
        <w:rPr>
          <w:rFonts w:ascii="Arial" w:eastAsia="Arial-BoldMT" w:hAnsi="Arial" w:cs="Arial"/>
          <w:b/>
          <w:bCs/>
          <w:color w:val="AF1D1F"/>
          <w:spacing w:val="4"/>
          <w:w w:val="85"/>
          <w:sz w:val="20"/>
          <w:szCs w:val="20"/>
          <w:lang w:val="en-US"/>
        </w:rPr>
        <w:t>“Hypospadias Cripple”</w:t>
      </w:r>
    </w:p>
    <w:p w14:paraId="5FCCCCC9" w14:textId="77777777" w:rsidR="00550582" w:rsidRDefault="00550582" w:rsidP="00550582">
      <w:pPr>
        <w:autoSpaceDE w:val="0"/>
        <w:spacing w:line="288" w:lineRule="auto"/>
        <w:jc w:val="center"/>
        <w:textAlignment w:val="center"/>
        <w:rPr>
          <w:rFonts w:ascii="Arial" w:eastAsia="ArialMT" w:hAnsi="Arial" w:cs="Arial"/>
          <w:w w:val="85"/>
          <w:sz w:val="20"/>
          <w:szCs w:val="20"/>
          <w:lang w:val="en-US"/>
        </w:rPr>
      </w:pPr>
      <w:r>
        <w:rPr>
          <w:rFonts w:ascii="Arial" w:eastAsia="Arial-BoldMT" w:hAnsi="Arial" w:cs="Arial"/>
          <w:b/>
          <w:bCs/>
          <w:color w:val="AF1D1F"/>
          <w:spacing w:val="4"/>
          <w:w w:val="85"/>
          <w:sz w:val="20"/>
          <w:szCs w:val="20"/>
          <w:lang w:val="en-US"/>
        </w:rPr>
        <w:t>= made a “cripple” by repeat cosmetic surgeries</w:t>
      </w:r>
    </w:p>
    <w:p w14:paraId="4ED93082" w14:textId="77777777" w:rsidR="00550582" w:rsidRDefault="00550582" w:rsidP="00550582">
      <w:pPr>
        <w:autoSpaceDE w:val="0"/>
        <w:spacing w:line="288" w:lineRule="auto"/>
        <w:jc w:val="center"/>
        <w:textAlignment w:val="center"/>
        <w:rPr>
          <w:rFonts w:ascii="Arial" w:eastAsia="ArialMT" w:hAnsi="Arial" w:cs="Arial"/>
          <w:w w:val="85"/>
          <w:sz w:val="20"/>
          <w:szCs w:val="20"/>
          <w:lang w:val="en-US"/>
        </w:rPr>
      </w:pPr>
    </w:p>
    <w:p w14:paraId="7D26BDDE" w14:textId="77777777" w:rsidR="00550582" w:rsidRDefault="00550582" w:rsidP="00550582">
      <w:pPr>
        <w:pStyle w:val="KeinAbsatzformat"/>
        <w:spacing w:after="113"/>
        <w:jc w:val="center"/>
      </w:pPr>
      <w:r>
        <w:rPr>
          <w:rFonts w:eastAsia="ArialMT" w:cs="Arial"/>
          <w:noProof/>
          <w:w w:val="85"/>
          <w:sz w:val="20"/>
          <w:szCs w:val="20"/>
          <w:lang w:val="en-GB" w:eastAsia="en-GB" w:bidi="ar-SA"/>
        </w:rPr>
        <w:drawing>
          <wp:inline distT="0" distB="0" distL="0" distR="0" wp14:anchorId="774AE09C" wp14:editId="0E97AEBF">
            <wp:extent cx="3597910" cy="2392680"/>
            <wp:effectExtent l="0" t="0" r="0" b="0"/>
            <wp:docPr id="12"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7910" cy="2392680"/>
                    </a:xfrm>
                    <a:prstGeom prst="rect">
                      <a:avLst/>
                    </a:prstGeom>
                    <a:solidFill>
                      <a:srgbClr val="FFFFFF"/>
                    </a:solidFill>
                    <a:ln>
                      <a:noFill/>
                    </a:ln>
                  </pic:spPr>
                </pic:pic>
              </a:graphicData>
            </a:graphic>
          </wp:inline>
        </w:drawing>
      </w:r>
    </w:p>
    <w:p w14:paraId="524EFB43" w14:textId="77777777" w:rsidR="00550582" w:rsidRDefault="00550582" w:rsidP="00550582">
      <w:pPr>
        <w:pStyle w:val="BodyText"/>
        <w:jc w:val="center"/>
        <w:rPr>
          <w:rFonts w:ascii="Arial" w:eastAsia="ArialMT" w:hAnsi="Arial" w:cs="Arial"/>
          <w:w w:val="85"/>
          <w:sz w:val="20"/>
          <w:szCs w:val="20"/>
          <w:lang w:bidi="ar-SA"/>
        </w:rPr>
      </w:pPr>
      <w:r>
        <w:rPr>
          <w:rFonts w:ascii="Arial" w:eastAsia="ArialMT" w:hAnsi="Arial" w:cs="Arial"/>
          <w:noProof/>
          <w:w w:val="85"/>
          <w:sz w:val="20"/>
          <w:szCs w:val="20"/>
          <w:lang w:val="en-GB" w:eastAsia="en-GB" w:bidi="ar-SA"/>
        </w:rPr>
        <w:lastRenderedPageBreak/>
        <w:drawing>
          <wp:inline distT="0" distB="0" distL="0" distR="0" wp14:anchorId="6C17826B" wp14:editId="5CF32314">
            <wp:extent cx="1504315" cy="2392680"/>
            <wp:effectExtent l="0" t="0" r="0" b="0"/>
            <wp:docPr id="13"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4315" cy="2392680"/>
                    </a:xfrm>
                    <a:prstGeom prst="rect">
                      <a:avLst/>
                    </a:prstGeom>
                    <a:solidFill>
                      <a:srgbClr val="FFFFFF"/>
                    </a:solidFill>
                    <a:ln>
                      <a:noFill/>
                    </a:ln>
                  </pic:spPr>
                </pic:pic>
              </a:graphicData>
            </a:graphic>
          </wp:inline>
        </w:drawing>
      </w:r>
      <w:r>
        <w:rPr>
          <w:rFonts w:ascii="Arial" w:eastAsia="ArialMT" w:hAnsi="Arial" w:cs="Arial"/>
          <w:noProof/>
          <w:w w:val="85"/>
          <w:sz w:val="20"/>
          <w:szCs w:val="20"/>
          <w:lang w:val="en-GB" w:eastAsia="en-GB" w:bidi="ar-SA"/>
        </w:rPr>
        <w:drawing>
          <wp:inline distT="0" distB="0" distL="0" distR="0" wp14:anchorId="769598CB" wp14:editId="64139E7A">
            <wp:extent cx="1504315" cy="2392680"/>
            <wp:effectExtent l="0" t="0" r="0" b="0"/>
            <wp:docPr id="14"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4315" cy="2392680"/>
                    </a:xfrm>
                    <a:prstGeom prst="rect">
                      <a:avLst/>
                    </a:prstGeom>
                    <a:solidFill>
                      <a:srgbClr val="FFFFFF"/>
                    </a:solidFill>
                    <a:ln>
                      <a:noFill/>
                    </a:ln>
                  </pic:spPr>
                </pic:pic>
              </a:graphicData>
            </a:graphic>
          </wp:inline>
        </w:drawing>
      </w:r>
    </w:p>
    <w:p w14:paraId="3B0A1EDE" w14:textId="77777777" w:rsidR="00550582" w:rsidRDefault="00550582" w:rsidP="00550582">
      <w:pPr>
        <w:pStyle w:val="BodyText"/>
        <w:jc w:val="center"/>
        <w:rPr>
          <w:rFonts w:ascii="Arial" w:eastAsia="Arial-BoldMT" w:hAnsi="Arial" w:cs="Arial"/>
          <w:b/>
          <w:bCs/>
          <w:w w:val="85"/>
          <w:sz w:val="20"/>
          <w:szCs w:val="20"/>
          <w:lang w:val="fr-CH"/>
        </w:rPr>
      </w:pPr>
      <w:r>
        <w:rPr>
          <w:rFonts w:ascii="Arial" w:eastAsia="ArialMT" w:hAnsi="Arial" w:cs="Arial"/>
          <w:w w:val="85"/>
          <w:sz w:val="20"/>
          <w:szCs w:val="20"/>
          <w:lang w:bidi="ar-SA"/>
        </w:rPr>
        <w:br w:type="page"/>
      </w:r>
      <w:r>
        <w:rPr>
          <w:rFonts w:ascii="Arial" w:eastAsia="ArialMT" w:hAnsi="Arial" w:cs="Arial"/>
          <w:noProof/>
          <w:w w:val="85"/>
          <w:sz w:val="20"/>
          <w:szCs w:val="20"/>
          <w:lang w:val="en-GB" w:eastAsia="en-GB" w:bidi="ar-SA"/>
        </w:rPr>
        <w:lastRenderedPageBreak/>
        <w:drawing>
          <wp:inline distT="0" distB="0" distL="0" distR="0" wp14:anchorId="5FB39C8A" wp14:editId="08893B65">
            <wp:extent cx="3597910" cy="2068195"/>
            <wp:effectExtent l="0" t="0" r="0" b="0"/>
            <wp:docPr id="15"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7910" cy="2068195"/>
                    </a:xfrm>
                    <a:prstGeom prst="rect">
                      <a:avLst/>
                    </a:prstGeom>
                    <a:solidFill>
                      <a:srgbClr val="FFFFFF"/>
                    </a:solidFill>
                    <a:ln>
                      <a:noFill/>
                    </a:ln>
                  </pic:spPr>
                </pic:pic>
              </a:graphicData>
            </a:graphic>
          </wp:inline>
        </w:drawing>
      </w:r>
    </w:p>
    <w:p w14:paraId="0E4F0936" w14:textId="77777777" w:rsidR="00550582" w:rsidRDefault="00550582" w:rsidP="00550582">
      <w:pPr>
        <w:pStyle w:val="EinfacherAbsatz"/>
        <w:jc w:val="center"/>
        <w:rPr>
          <w:lang w:val="fr-CH"/>
        </w:rPr>
      </w:pPr>
      <w:r>
        <w:rPr>
          <w:rFonts w:eastAsia="Arial-BoldMT" w:cs="Arial"/>
          <w:b/>
          <w:bCs/>
          <w:w w:val="85"/>
          <w:sz w:val="20"/>
          <w:szCs w:val="20"/>
          <w:lang w:val="fr-CH"/>
        </w:rPr>
        <w:t>Source:</w:t>
      </w:r>
      <w:r>
        <w:rPr>
          <w:rFonts w:eastAsia="ArialMT" w:cs="Arial"/>
          <w:w w:val="85"/>
          <w:sz w:val="20"/>
          <w:szCs w:val="20"/>
          <w:lang w:val="fr-CH"/>
        </w:rPr>
        <w:t xml:space="preserve"> Pierre Mouriquand: “Surgery of Hypospadias in 2006 - Techniques &amp; outcomes”</w:t>
      </w:r>
    </w:p>
    <w:p w14:paraId="092118F0" w14:textId="77777777" w:rsidR="00550582" w:rsidRDefault="00550582" w:rsidP="00550582">
      <w:pPr>
        <w:pStyle w:val="BodyText"/>
        <w:jc w:val="both"/>
        <w:rPr>
          <w:lang w:val="fr-CH"/>
        </w:rPr>
      </w:pPr>
    </w:p>
    <w:p w14:paraId="55C66B21" w14:textId="77777777" w:rsidR="00550582" w:rsidRPr="00D40BDF" w:rsidRDefault="00550582" w:rsidP="0093535A">
      <w:pPr>
        <w:pStyle w:val="Title3"/>
      </w:pPr>
      <w:bookmarkStart w:id="73" w:name="_Toc453620775"/>
      <w:bookmarkStart w:id="74" w:name="_Toc6284929"/>
      <w:bookmarkStart w:id="75" w:name="_Toc11105553"/>
      <w:r w:rsidRPr="00D40BDF">
        <w:t>IGM 2 – “Feminising Surgery”: “Clitoral Reduction”, “Vaginoplasty”</w:t>
      </w:r>
      <w:bookmarkEnd w:id="73"/>
      <w:bookmarkEnd w:id="74"/>
      <w:bookmarkEnd w:id="75"/>
    </w:p>
    <w:p w14:paraId="3808B6D1" w14:textId="77777777" w:rsidR="00550582" w:rsidRDefault="00550582" w:rsidP="00550582">
      <w:pPr>
        <w:autoSpaceDE w:val="0"/>
        <w:spacing w:before="120" w:after="200" w:line="288" w:lineRule="auto"/>
        <w:jc w:val="both"/>
        <w:textAlignment w:val="center"/>
        <w:rPr>
          <w:rFonts w:ascii="Arial" w:eastAsia="Arial-BoldMT" w:hAnsi="Arial" w:cs="Arial"/>
          <w:b/>
          <w:bCs/>
          <w:color w:val="000000"/>
          <w:spacing w:val="2"/>
          <w:w w:val="90"/>
          <w:lang w:val="en-GB"/>
        </w:rPr>
      </w:pPr>
      <w:r>
        <w:rPr>
          <w:rFonts w:ascii="Arial" w:eastAsia="Arial-BoldMT" w:hAnsi="Arial" w:cs="Arial"/>
          <w:b/>
          <w:bCs/>
          <w:color w:val="000000"/>
          <w:spacing w:val="2"/>
          <w:w w:val="90"/>
          <w:lang w:val="en-GB"/>
        </w:rPr>
        <w:t>Partial amputation of clitoris, often in combination with surgically widening the vagina followed by painful dilation. “46,XX Congenital Adrenal Hyperplasia (CAH)” is arguably the second most prevalent diagnosis for cosmetic genital surgeries, and the most common for this type (further diagnoses include “46,XY Partial Androgen Insufficiency Syndrome (PAIS)” and “46,XY Leydig Cell Hypoplasia”).</w:t>
      </w:r>
    </w:p>
    <w:p w14:paraId="415A43FF" w14:textId="77777777" w:rsidR="00550582" w:rsidRPr="00F35BDB" w:rsidRDefault="00550582" w:rsidP="00550582">
      <w:pPr>
        <w:autoSpaceDE w:val="0"/>
        <w:spacing w:before="120" w:after="200" w:line="288" w:lineRule="auto"/>
        <w:jc w:val="both"/>
        <w:textAlignment w:val="center"/>
        <w:rPr>
          <w:lang w:val="en-US"/>
        </w:rPr>
      </w:pPr>
      <w:r>
        <w:rPr>
          <w:rFonts w:ascii="Arial" w:eastAsia="Arial-BoldMT" w:hAnsi="Arial" w:cs="Arial"/>
          <w:b/>
          <w:bCs/>
          <w:color w:val="000000"/>
          <w:spacing w:val="2"/>
          <w:w w:val="90"/>
          <w:lang w:val="en-GB"/>
        </w:rPr>
        <w:t xml:space="preserve">Despite numerous findings of impairment and loss of sexual sensation caused by these cosmetic surgeries, and lacking evidence for benefit for survivors, current guidelines nonetheless advise surgeries </w:t>
      </w:r>
      <w:r>
        <w:rPr>
          <w:rFonts w:ascii="Arial" w:eastAsia="Arial-BoldMT" w:hAnsi="Arial" w:cs="Arial"/>
          <w:b/>
          <w:bCs/>
          <w:i/>
          <w:color w:val="000000"/>
          <w:spacing w:val="2"/>
          <w:w w:val="90"/>
          <w:lang w:val="en-GB"/>
        </w:rPr>
        <w:t>“in the first 2 years of life”,</w:t>
      </w:r>
      <w:r>
        <w:rPr>
          <w:rFonts w:ascii="Arial" w:eastAsia="Arial-BoldMT" w:hAnsi="Arial" w:cs="Arial"/>
          <w:b/>
          <w:bCs/>
          <w:color w:val="000000"/>
          <w:spacing w:val="2"/>
          <w:w w:val="90"/>
          <w:lang w:val="en-GB"/>
        </w:rPr>
        <w:t xml:space="preserve"> most commonly </w:t>
      </w:r>
      <w:r>
        <w:rPr>
          <w:rFonts w:ascii="Arial" w:eastAsia="Arial-BoldMT" w:hAnsi="Arial" w:cs="Arial"/>
          <w:b/>
          <w:bCs/>
          <w:i/>
          <w:color w:val="000000"/>
          <w:spacing w:val="2"/>
          <w:w w:val="90"/>
          <w:lang w:val="en-GB"/>
        </w:rPr>
        <w:t xml:space="preserve">“between 6 and 12 months,” </w:t>
      </w:r>
      <w:r>
        <w:rPr>
          <w:rFonts w:ascii="Arial" w:eastAsia="Arial-BoldMT" w:hAnsi="Arial" w:cs="Arial"/>
          <w:b/>
          <w:bCs/>
          <w:color w:val="000000"/>
          <w:spacing w:val="2"/>
          <w:w w:val="90"/>
          <w:lang w:val="en-GB"/>
        </w:rPr>
        <w:t>and only 10.5% of surgeons recommend letting the persons concerned decide themselves later.</w:t>
      </w:r>
    </w:p>
    <w:p w14:paraId="3EEF5FD5" w14:textId="77777777" w:rsidR="00550582" w:rsidRDefault="00550582" w:rsidP="00550582">
      <w:pPr>
        <w:autoSpaceDE w:val="0"/>
        <w:spacing w:line="288" w:lineRule="auto"/>
        <w:jc w:val="center"/>
        <w:textAlignment w:val="center"/>
        <w:rPr>
          <w:rFonts w:ascii="Arial" w:eastAsia="HelveticaNeue-Bold" w:hAnsi="Arial" w:cs="Arial"/>
          <w:b/>
          <w:bCs/>
          <w:color w:val="000000"/>
          <w:spacing w:val="4"/>
          <w:w w:val="85"/>
          <w:sz w:val="20"/>
          <w:szCs w:val="20"/>
          <w:lang w:val="de-DE"/>
        </w:rPr>
      </w:pPr>
      <w:r>
        <w:rPr>
          <w:rFonts w:ascii="Arial" w:eastAsia="HelveticaNeue-Bold" w:hAnsi="Arial" w:cs="Arial"/>
          <w:b/>
          <w:noProof/>
          <w:color w:val="000000"/>
          <w:spacing w:val="4"/>
          <w:w w:val="85"/>
          <w:sz w:val="20"/>
          <w:szCs w:val="20"/>
          <w:lang w:val="en-GB" w:eastAsia="en-GB" w:bidi="ar-SA"/>
        </w:rPr>
        <w:lastRenderedPageBreak/>
        <w:drawing>
          <wp:inline distT="0" distB="0" distL="0" distR="0" wp14:anchorId="13B83C54" wp14:editId="1DEF238E">
            <wp:extent cx="2623820" cy="2051050"/>
            <wp:effectExtent l="0" t="0" r="0" b="0"/>
            <wp:docPr id="16"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3820" cy="2051050"/>
                    </a:xfrm>
                    <a:prstGeom prst="rect">
                      <a:avLst/>
                    </a:prstGeom>
                    <a:solidFill>
                      <a:srgbClr val="FFFFFF"/>
                    </a:solidFill>
                    <a:ln>
                      <a:noFill/>
                    </a:ln>
                  </pic:spPr>
                </pic:pic>
              </a:graphicData>
            </a:graphic>
          </wp:inline>
        </w:drawing>
      </w:r>
      <w:r>
        <w:rPr>
          <w:rFonts w:ascii="Arial" w:eastAsia="HelveticaNeue-Bold" w:hAnsi="Arial" w:cs="Arial"/>
          <w:b/>
          <w:noProof/>
          <w:color w:val="000000"/>
          <w:spacing w:val="4"/>
          <w:w w:val="85"/>
          <w:sz w:val="20"/>
          <w:szCs w:val="20"/>
          <w:lang w:val="en-GB" w:eastAsia="en-GB" w:bidi="ar-SA"/>
        </w:rPr>
        <w:drawing>
          <wp:inline distT="0" distB="0" distL="0" distR="0" wp14:anchorId="7A33CB89" wp14:editId="30143584">
            <wp:extent cx="2452370" cy="2298700"/>
            <wp:effectExtent l="0" t="0" r="0" b="0"/>
            <wp:docPr id="17"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2370" cy="2298700"/>
                    </a:xfrm>
                    <a:prstGeom prst="rect">
                      <a:avLst/>
                    </a:prstGeom>
                    <a:solidFill>
                      <a:srgbClr val="FFFFFF"/>
                    </a:solidFill>
                    <a:ln>
                      <a:noFill/>
                    </a:ln>
                  </pic:spPr>
                </pic:pic>
              </a:graphicData>
            </a:graphic>
          </wp:inline>
        </w:drawing>
      </w:r>
    </w:p>
    <w:p w14:paraId="003C5230" w14:textId="2427C89D" w:rsidR="00550582" w:rsidRDefault="00550582" w:rsidP="00550582">
      <w:pPr>
        <w:autoSpaceDE w:val="0"/>
        <w:spacing w:line="288" w:lineRule="auto"/>
        <w:jc w:val="center"/>
        <w:textAlignment w:val="center"/>
        <w:rPr>
          <w:rFonts w:ascii="Arial" w:eastAsia="HelveticaNeue" w:hAnsi="Arial" w:cs="Arial"/>
          <w:color w:val="000000"/>
          <w:spacing w:val="4"/>
          <w:w w:val="85"/>
          <w:sz w:val="20"/>
          <w:szCs w:val="20"/>
          <w:lang w:val="de-DE"/>
        </w:rPr>
      </w:pPr>
      <w:r>
        <w:rPr>
          <w:rFonts w:ascii="Arial" w:eastAsia="HelveticaNeue-Bold" w:hAnsi="Arial" w:cs="Arial"/>
          <w:b/>
          <w:bCs/>
          <w:color w:val="000000"/>
          <w:spacing w:val="4"/>
          <w:w w:val="85"/>
          <w:sz w:val="20"/>
          <w:szCs w:val="20"/>
          <w:lang w:val="de-DE"/>
        </w:rPr>
        <w:t>Source:</w:t>
      </w:r>
      <w:r>
        <w:rPr>
          <w:rFonts w:ascii="Arial" w:eastAsia="HelveticaNeue" w:hAnsi="Arial" w:cs="Arial"/>
          <w:color w:val="000000"/>
          <w:spacing w:val="4"/>
          <w:w w:val="85"/>
          <w:sz w:val="20"/>
          <w:szCs w:val="20"/>
          <w:lang w:val="de-DE"/>
        </w:rPr>
        <w:t xml:space="preserve"> Christian Radmayr</w:t>
      </w:r>
      <w:r w:rsidR="00385461">
        <w:rPr>
          <w:rFonts w:ascii="Arial" w:eastAsia="HelveticaNeue" w:hAnsi="Arial" w:cs="Arial"/>
          <w:color w:val="000000"/>
          <w:spacing w:val="4"/>
          <w:w w:val="85"/>
          <w:sz w:val="20"/>
          <w:szCs w:val="20"/>
          <w:lang w:val="de-DE"/>
        </w:rPr>
        <w:t xml:space="preserve"> </w:t>
      </w:r>
      <w:r w:rsidR="00385461" w:rsidRPr="00385461">
        <w:rPr>
          <w:rFonts w:ascii="Arial" w:eastAsia="HelveticaNeue" w:hAnsi="Arial" w:cs="Arial"/>
          <w:b/>
          <w:bCs/>
          <w:color w:val="000000"/>
          <w:spacing w:val="4"/>
          <w:w w:val="85"/>
          <w:sz w:val="20"/>
          <w:szCs w:val="20"/>
          <w:lang w:val="de-DE"/>
        </w:rPr>
        <w:t>(Innsbruck)</w:t>
      </w:r>
      <w:r>
        <w:rPr>
          <w:rFonts w:ascii="Arial" w:eastAsia="HelveticaNeue" w:hAnsi="Arial" w:cs="Arial"/>
          <w:color w:val="000000"/>
          <w:spacing w:val="4"/>
          <w:w w:val="85"/>
          <w:sz w:val="20"/>
          <w:szCs w:val="20"/>
          <w:lang w:val="de-DE"/>
        </w:rPr>
        <w:t xml:space="preserve">: </w:t>
      </w:r>
      <w:r>
        <w:rPr>
          <w:rFonts w:ascii="Arial" w:eastAsia="HelveticaNeue-Italic" w:hAnsi="Arial" w:cs="Arial"/>
          <w:i/>
          <w:iCs/>
          <w:color w:val="000000"/>
          <w:spacing w:val="4"/>
          <w:w w:val="85"/>
          <w:sz w:val="20"/>
          <w:szCs w:val="20"/>
          <w:lang w:val="de-DE"/>
        </w:rPr>
        <w:t>Molekulare Grundlagen und Diagnostik des Intersex</w:t>
      </w:r>
      <w:r>
        <w:rPr>
          <w:rFonts w:ascii="Arial" w:eastAsia="HelveticaNeue" w:hAnsi="Arial" w:cs="Arial"/>
          <w:color w:val="000000"/>
          <w:spacing w:val="4"/>
          <w:w w:val="85"/>
          <w:sz w:val="20"/>
          <w:szCs w:val="20"/>
          <w:lang w:val="de-DE"/>
        </w:rPr>
        <w:t>, 2004</w:t>
      </w:r>
    </w:p>
    <w:p w14:paraId="2529ACD1" w14:textId="77777777" w:rsidR="00550582" w:rsidRDefault="00550582" w:rsidP="00550582">
      <w:pPr>
        <w:autoSpaceDE w:val="0"/>
        <w:spacing w:line="288" w:lineRule="auto"/>
        <w:jc w:val="center"/>
        <w:textAlignment w:val="center"/>
        <w:rPr>
          <w:rFonts w:ascii="Arial" w:eastAsia="Arial-BoldMT" w:hAnsi="Arial" w:cs="Arial"/>
          <w:b/>
          <w:bCs/>
          <w:color w:val="000000"/>
          <w:spacing w:val="4"/>
          <w:w w:val="85"/>
          <w:sz w:val="20"/>
          <w:szCs w:val="20"/>
          <w:lang w:val="de-DE"/>
        </w:rPr>
      </w:pPr>
      <w:r>
        <w:rPr>
          <w:rFonts w:ascii="Arial" w:eastAsia="HelveticaNeue" w:hAnsi="Arial" w:cs="Arial"/>
          <w:color w:val="000000"/>
          <w:spacing w:val="4"/>
          <w:w w:val="85"/>
          <w:sz w:val="20"/>
          <w:szCs w:val="20"/>
          <w:lang w:val="de-DE"/>
        </w:rPr>
        <w:br w:type="page"/>
      </w:r>
      <w:r>
        <w:rPr>
          <w:rFonts w:ascii="Arial" w:eastAsia="Times-Roman" w:hAnsi="Arial" w:cs="Arial"/>
          <w:noProof/>
          <w:color w:val="000000"/>
          <w:sz w:val="32"/>
          <w:szCs w:val="32"/>
          <w:lang w:val="en-GB" w:eastAsia="en-GB" w:bidi="ar-SA"/>
        </w:rPr>
        <w:lastRenderedPageBreak/>
        <w:drawing>
          <wp:inline distT="0" distB="0" distL="0" distR="0" wp14:anchorId="1255CE6A" wp14:editId="00DC7A99">
            <wp:extent cx="3597910" cy="6161405"/>
            <wp:effectExtent l="0" t="0" r="0" b="0"/>
            <wp:docPr id="18" name="Bild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7910" cy="6161405"/>
                    </a:xfrm>
                    <a:prstGeom prst="rect">
                      <a:avLst/>
                    </a:prstGeom>
                    <a:solidFill>
                      <a:srgbClr val="FFFFFF"/>
                    </a:solidFill>
                    <a:ln>
                      <a:noFill/>
                    </a:ln>
                  </pic:spPr>
                </pic:pic>
              </a:graphicData>
            </a:graphic>
          </wp:inline>
        </w:drawing>
      </w:r>
    </w:p>
    <w:p w14:paraId="4AD79C4D" w14:textId="77777777" w:rsidR="00550582" w:rsidRPr="00F35BDB" w:rsidRDefault="00550582" w:rsidP="00550582">
      <w:pPr>
        <w:autoSpaceDE w:val="0"/>
        <w:spacing w:line="288" w:lineRule="auto"/>
        <w:jc w:val="center"/>
        <w:textAlignment w:val="center"/>
        <w:rPr>
          <w:rFonts w:ascii="Arial" w:eastAsia="ArialMT" w:hAnsi="Arial" w:cs="Arial"/>
          <w:color w:val="000000"/>
          <w:spacing w:val="4"/>
          <w:w w:val="85"/>
          <w:sz w:val="20"/>
          <w:szCs w:val="20"/>
        </w:rPr>
      </w:pPr>
      <w:r>
        <w:rPr>
          <w:rFonts w:ascii="Arial" w:eastAsia="Arial-BoldMT" w:hAnsi="Arial" w:cs="Arial"/>
          <w:b/>
          <w:bCs/>
          <w:color w:val="000000"/>
          <w:spacing w:val="4"/>
          <w:w w:val="85"/>
          <w:sz w:val="20"/>
          <w:szCs w:val="20"/>
          <w:lang w:val="de-DE"/>
        </w:rPr>
        <w:lastRenderedPageBreak/>
        <w:t>Source:</w:t>
      </w:r>
      <w:r>
        <w:rPr>
          <w:rFonts w:ascii="Arial" w:eastAsia="ArialMT" w:hAnsi="Arial" w:cs="Arial"/>
          <w:color w:val="000000"/>
          <w:spacing w:val="4"/>
          <w:w w:val="85"/>
          <w:sz w:val="20"/>
          <w:szCs w:val="20"/>
          <w:lang w:val="de-DE"/>
        </w:rPr>
        <w:t xml:space="preserve"> Finke/Höhne: </w:t>
      </w:r>
      <w:r>
        <w:rPr>
          <w:rFonts w:ascii="Arial" w:eastAsia="Arial-ItalicMT" w:hAnsi="Arial" w:cs="Arial"/>
          <w:i/>
          <w:iCs/>
          <w:color w:val="000000"/>
          <w:spacing w:val="4"/>
          <w:w w:val="85"/>
          <w:sz w:val="20"/>
          <w:szCs w:val="20"/>
          <w:lang w:val="de-DE"/>
        </w:rPr>
        <w:t>Intersexualität bei Kindern</w:t>
      </w:r>
      <w:r>
        <w:rPr>
          <w:rFonts w:ascii="Arial" w:eastAsia="ArialMT" w:hAnsi="Arial" w:cs="Arial"/>
          <w:color w:val="000000"/>
          <w:spacing w:val="4"/>
          <w:w w:val="85"/>
          <w:sz w:val="20"/>
          <w:szCs w:val="20"/>
          <w:lang w:val="de-DE"/>
        </w:rPr>
        <w:t>, 2008</w:t>
      </w:r>
    </w:p>
    <w:p w14:paraId="4C941E0C" w14:textId="77777777" w:rsidR="00550582" w:rsidRPr="00F35BDB" w:rsidRDefault="00550582" w:rsidP="00550582">
      <w:pPr>
        <w:autoSpaceDE w:val="0"/>
        <w:spacing w:line="288" w:lineRule="auto"/>
        <w:jc w:val="center"/>
        <w:textAlignment w:val="center"/>
        <w:rPr>
          <w:lang w:val="en-US"/>
        </w:rPr>
      </w:pPr>
      <w:r>
        <w:rPr>
          <w:rFonts w:ascii="Arial" w:eastAsia="ArialMT" w:hAnsi="Arial" w:cs="Arial"/>
          <w:color w:val="000000"/>
          <w:spacing w:val="4"/>
          <w:w w:val="85"/>
          <w:sz w:val="20"/>
          <w:szCs w:val="20"/>
          <w:lang w:val="en-US"/>
        </w:rPr>
        <w:t xml:space="preserve">Caption 8b: </w:t>
      </w:r>
      <w:r>
        <w:rPr>
          <w:rFonts w:ascii="Arial" w:eastAsia="Arial-BoldItalicMT" w:hAnsi="Arial" w:cs="Arial"/>
          <w:b/>
          <w:bCs/>
          <w:i/>
          <w:iCs/>
          <w:color w:val="000000"/>
          <w:spacing w:val="4"/>
          <w:w w:val="85"/>
          <w:sz w:val="20"/>
          <w:szCs w:val="20"/>
          <w:lang w:val="en-US"/>
        </w:rPr>
        <w:t>“Material shortage” [of skin] while reconstructing the praeputium clitoridis and the inner labia.</w:t>
      </w:r>
    </w:p>
    <w:p w14:paraId="695197A9" w14:textId="77777777" w:rsidR="00550582" w:rsidRDefault="00550582" w:rsidP="00550582">
      <w:pPr>
        <w:autoSpaceDE w:val="0"/>
        <w:spacing w:line="288" w:lineRule="auto"/>
        <w:jc w:val="center"/>
        <w:textAlignment w:val="center"/>
        <w:rPr>
          <w:rFonts w:ascii="Arial" w:eastAsia="Arial-BoldMT" w:hAnsi="Arial" w:cs="Arial"/>
          <w:b/>
          <w:bCs/>
          <w:color w:val="000000"/>
          <w:spacing w:val="4"/>
          <w:w w:val="85"/>
          <w:sz w:val="20"/>
          <w:szCs w:val="20"/>
          <w:lang w:val="fr-CH"/>
        </w:rPr>
      </w:pPr>
      <w:r>
        <w:rPr>
          <w:rFonts w:ascii="Arial" w:eastAsia="Times-Roman" w:hAnsi="Arial" w:cs="Arial"/>
          <w:noProof/>
          <w:color w:val="000000"/>
          <w:spacing w:val="4"/>
          <w:w w:val="85"/>
          <w:sz w:val="20"/>
          <w:szCs w:val="20"/>
          <w:lang w:val="en-GB" w:eastAsia="en-GB" w:bidi="ar-SA"/>
        </w:rPr>
        <w:drawing>
          <wp:inline distT="0" distB="0" distL="0" distR="0" wp14:anchorId="2557FB01" wp14:editId="3B450A6A">
            <wp:extent cx="2871470" cy="2315845"/>
            <wp:effectExtent l="0" t="0" r="0" b="0"/>
            <wp:docPr id="19" name="Bild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1470" cy="2315845"/>
                    </a:xfrm>
                    <a:prstGeom prst="rect">
                      <a:avLst/>
                    </a:prstGeom>
                    <a:solidFill>
                      <a:srgbClr val="FFFFFF"/>
                    </a:solidFill>
                    <a:ln>
                      <a:noFill/>
                    </a:ln>
                  </pic:spPr>
                </pic:pic>
              </a:graphicData>
            </a:graphic>
          </wp:inline>
        </w:drawing>
      </w:r>
    </w:p>
    <w:p w14:paraId="7A341E69" w14:textId="77777777" w:rsidR="00550582" w:rsidRDefault="00550582" w:rsidP="00550582">
      <w:pPr>
        <w:autoSpaceDE w:val="0"/>
        <w:spacing w:line="288" w:lineRule="auto"/>
        <w:jc w:val="center"/>
        <w:textAlignment w:val="center"/>
        <w:rPr>
          <w:rFonts w:ascii="Arial" w:eastAsia="Arial-BoldMT" w:hAnsi="Arial" w:cs="Arial"/>
          <w:b/>
          <w:bCs/>
          <w:color w:val="000000"/>
          <w:spacing w:val="2"/>
          <w:w w:val="90"/>
          <w:lang w:val="fr-CH"/>
        </w:rPr>
      </w:pPr>
      <w:r>
        <w:rPr>
          <w:rFonts w:ascii="Arial" w:eastAsia="Arial-BoldMT" w:hAnsi="Arial" w:cs="Arial"/>
          <w:b/>
          <w:bCs/>
          <w:color w:val="000000"/>
          <w:spacing w:val="4"/>
          <w:w w:val="85"/>
          <w:sz w:val="20"/>
          <w:szCs w:val="20"/>
          <w:lang w:val="fr-CH"/>
        </w:rPr>
        <w:t>Source:</w:t>
      </w:r>
      <w:r>
        <w:rPr>
          <w:rFonts w:ascii="Arial" w:eastAsia="ArialMT" w:hAnsi="Arial" w:cs="Arial"/>
          <w:color w:val="000000"/>
          <w:spacing w:val="4"/>
          <w:w w:val="85"/>
          <w:sz w:val="20"/>
          <w:szCs w:val="20"/>
          <w:lang w:val="fr-CH"/>
        </w:rPr>
        <w:t xml:space="preserve"> Pierre Mouriquand: “Chirurgie des anomalies du développement sexuel - 2007”, at 81: “Labioplastie”</w:t>
      </w:r>
    </w:p>
    <w:p w14:paraId="3C7F9130" w14:textId="77777777" w:rsidR="00550582" w:rsidRPr="00F516CE" w:rsidRDefault="00550582" w:rsidP="0093535A">
      <w:pPr>
        <w:pStyle w:val="Title3"/>
        <w:rPr>
          <w:rFonts w:eastAsia="Arial-BoldMT"/>
          <w:w w:val="90"/>
        </w:rPr>
      </w:pPr>
      <w:r w:rsidRPr="00553E82">
        <w:rPr>
          <w:i/>
          <w:lang w:val="en-US"/>
        </w:rPr>
        <w:br w:type="page"/>
      </w:r>
      <w:bookmarkStart w:id="76" w:name="_Toc453620776"/>
      <w:bookmarkStart w:id="77" w:name="_Toc6284930"/>
      <w:bookmarkStart w:id="78" w:name="_Toc11105554"/>
      <w:r w:rsidRPr="00F516CE">
        <w:lastRenderedPageBreak/>
        <w:t>IGM 3 – Sterilising Surgery: Castration / “Gonadectomy” / Hysterectomy</w:t>
      </w:r>
      <w:bookmarkEnd w:id="76"/>
      <w:bookmarkEnd w:id="77"/>
      <w:bookmarkEnd w:id="78"/>
    </w:p>
    <w:p w14:paraId="04F1BFC6" w14:textId="77777777" w:rsidR="00550582" w:rsidRDefault="00550582" w:rsidP="00550582">
      <w:pPr>
        <w:autoSpaceDE w:val="0"/>
        <w:spacing w:before="120" w:after="200" w:line="288" w:lineRule="auto"/>
        <w:jc w:val="both"/>
        <w:textAlignment w:val="center"/>
        <w:rPr>
          <w:rFonts w:ascii="Arial" w:eastAsia="Arial-BoldMT" w:hAnsi="Arial" w:cs="Arial"/>
          <w:b/>
          <w:bCs/>
          <w:color w:val="000000"/>
          <w:spacing w:val="2"/>
          <w:w w:val="90"/>
          <w:lang w:val="en-GB"/>
        </w:rPr>
      </w:pPr>
      <w:r>
        <w:rPr>
          <w:rFonts w:ascii="Arial" w:eastAsia="Arial-BoldMT" w:hAnsi="Arial" w:cs="Arial"/>
          <w:b/>
          <w:bCs/>
          <w:color w:val="000000"/>
          <w:spacing w:val="2"/>
          <w:w w:val="90"/>
          <w:lang w:val="en-GB"/>
        </w:rPr>
        <w:t>Removal of healthy testicles, ovaries, or ovotestes, and other potentially fertile reproductive organs. “46,XY Complete Androgen Insufficiency Syndrome (CAIS)” is arguably the 3rd most common diagnosis for cosmetic genital surgeries, other diagnoses include “46,XY Partial Androgen Insufficiency Syndrome (PAIS)”, male-assigned persons with “46,XX Congenital Adrenal Hyperplasia (CAH)”, and other male assigned persons, who have their healthy ovaries and/or uteruses removed.</w:t>
      </w:r>
    </w:p>
    <w:p w14:paraId="4956C088" w14:textId="77777777" w:rsidR="00550582" w:rsidRDefault="00550582" w:rsidP="00550582">
      <w:pPr>
        <w:autoSpaceDE w:val="0"/>
        <w:spacing w:before="120" w:after="200" w:line="288" w:lineRule="auto"/>
        <w:jc w:val="both"/>
        <w:textAlignment w:val="center"/>
        <w:rPr>
          <w:rFonts w:ascii="Arial" w:eastAsia="Arial-BoldMT" w:hAnsi="Arial" w:cs="Arial"/>
          <w:b/>
          <w:bCs/>
          <w:color w:val="000000"/>
          <w:spacing w:val="2"/>
          <w:w w:val="90"/>
          <w:lang w:val="en-GB"/>
        </w:rPr>
      </w:pPr>
      <w:r>
        <w:rPr>
          <w:rFonts w:ascii="Arial" w:eastAsia="Arial-BoldMT" w:hAnsi="Arial" w:cs="Arial"/>
          <w:b/>
          <w:bCs/>
          <w:color w:val="000000"/>
          <w:spacing w:val="2"/>
          <w:w w:val="90"/>
          <w:lang w:val="en-GB"/>
        </w:rPr>
        <w:t xml:space="preserve">Castrations usually take place under the pretext of an allegedly blanket high risk of cancer, despite that an actual high risk which would justify immediate removal is only present in specific cases (see table below), and the admitted true reason is “better manageability.” Contrary to doctors claims, it is known that the gonads by themselves are usually healthy and </w:t>
      </w:r>
      <w:r>
        <w:rPr>
          <w:rFonts w:ascii="Arial" w:eastAsia="Arial-BoldMT" w:hAnsi="Arial" w:cs="Arial"/>
          <w:b/>
          <w:bCs/>
          <w:i/>
          <w:color w:val="000000"/>
          <w:spacing w:val="2"/>
          <w:w w:val="90"/>
          <w:lang w:val="en-GB"/>
        </w:rPr>
        <w:t>“effective”</w:t>
      </w:r>
      <w:r>
        <w:rPr>
          <w:rFonts w:ascii="Arial" w:eastAsia="Arial-BoldMT" w:hAnsi="Arial" w:cs="Arial"/>
          <w:b/>
          <w:bCs/>
          <w:color w:val="000000"/>
          <w:spacing w:val="2"/>
          <w:w w:val="90"/>
          <w:lang w:val="en-GB"/>
        </w:rPr>
        <w:t xml:space="preserve"> hormone-producing organs, often with </w:t>
      </w:r>
      <w:r>
        <w:rPr>
          <w:rFonts w:ascii="Arial" w:eastAsia="Arial-BoldMT" w:hAnsi="Arial" w:cs="Arial"/>
          <w:b/>
          <w:bCs/>
          <w:i/>
          <w:color w:val="000000"/>
          <w:spacing w:val="2"/>
          <w:w w:val="90"/>
          <w:lang w:val="en-GB"/>
        </w:rPr>
        <w:t>“complete spermatogenesis [...] suitable for cryopreservation.”</w:t>
      </w:r>
    </w:p>
    <w:p w14:paraId="202504B0" w14:textId="77777777" w:rsidR="00550582" w:rsidRPr="00F35BDB" w:rsidRDefault="00550582" w:rsidP="00550582">
      <w:pPr>
        <w:autoSpaceDE w:val="0"/>
        <w:spacing w:before="120" w:after="200" w:line="288" w:lineRule="auto"/>
        <w:jc w:val="both"/>
        <w:textAlignment w:val="center"/>
        <w:rPr>
          <w:lang w:val="en-US"/>
        </w:rPr>
      </w:pPr>
      <w:r>
        <w:rPr>
          <w:rFonts w:ascii="Arial" w:eastAsia="Arial-BoldMT" w:hAnsi="Arial" w:cs="Arial"/>
          <w:b/>
          <w:bCs/>
          <w:color w:val="000000"/>
          <w:spacing w:val="2"/>
          <w:w w:val="90"/>
          <w:lang w:val="en-GB"/>
        </w:rPr>
        <w:t>Nonetheless, clinicians still continue to recommend and perform early gonadectomies – despite all the known negative effects of castration, including depression, obesity, serious metabolic and circulatory troubles, osteoporosis, reduction of cognitive abilities, loss of libido. Plus a resulting lifelong dependency on artificial hormones (with adequate hormones often not covered by health insurance, but to be paid by the survivors out of their own purse).</w:t>
      </w:r>
    </w:p>
    <w:p w14:paraId="4731A143" w14:textId="52153B2F" w:rsidR="00550582" w:rsidRDefault="00550582" w:rsidP="00553E82">
      <w:pPr>
        <w:autoSpaceDE w:val="0"/>
        <w:spacing w:line="288" w:lineRule="auto"/>
        <w:textAlignment w:val="center"/>
        <w:rPr>
          <w:rFonts w:ascii="Arial" w:eastAsia="Arial-BoldMT" w:hAnsi="Arial" w:cs="Arial"/>
          <w:b/>
          <w:bCs/>
          <w:color w:val="000000"/>
          <w:spacing w:val="4"/>
          <w:w w:val="85"/>
          <w:sz w:val="20"/>
          <w:szCs w:val="20"/>
          <w:lang w:val="en-US"/>
        </w:rPr>
      </w:pPr>
      <w:r>
        <w:rPr>
          <w:rFonts w:ascii="Arial" w:eastAsia="Times-Roman" w:hAnsi="Arial" w:cs="Arial"/>
          <w:noProof/>
          <w:color w:val="000000"/>
          <w:sz w:val="32"/>
          <w:szCs w:val="32"/>
          <w:lang w:val="en-GB" w:eastAsia="en-GB" w:bidi="ar-SA"/>
        </w:rPr>
        <w:lastRenderedPageBreak/>
        <w:drawing>
          <wp:anchor distT="0" distB="0" distL="114300" distR="114300" simplePos="0" relativeHeight="251658240" behindDoc="0" locked="0" layoutInCell="1" allowOverlap="1" wp14:anchorId="521D860A" wp14:editId="3102C390">
            <wp:simplePos x="0" y="0"/>
            <wp:positionH relativeFrom="column">
              <wp:posOffset>720090</wp:posOffset>
            </wp:positionH>
            <wp:positionV relativeFrom="paragraph">
              <wp:align>top</wp:align>
            </wp:positionV>
            <wp:extent cx="2871470" cy="3034030"/>
            <wp:effectExtent l="0" t="0" r="5080" b="0"/>
            <wp:wrapSquare wrapText="bothSides"/>
            <wp:docPr id="20" name="Bild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1470" cy="3034030"/>
                    </a:xfrm>
                    <a:prstGeom prst="rect">
                      <a:avLst/>
                    </a:prstGeom>
                    <a:solidFill>
                      <a:srgbClr val="FFFFFF"/>
                    </a:solidFill>
                    <a:ln>
                      <a:noFill/>
                    </a:ln>
                  </pic:spPr>
                </pic:pic>
              </a:graphicData>
            </a:graphic>
          </wp:anchor>
        </w:drawing>
      </w:r>
      <w:r w:rsidR="00553E82">
        <w:rPr>
          <w:rFonts w:ascii="Arial" w:eastAsia="Arial-BoldMT" w:hAnsi="Arial" w:cs="Arial"/>
          <w:b/>
          <w:bCs/>
          <w:color w:val="000000"/>
          <w:spacing w:val="4"/>
          <w:w w:val="85"/>
          <w:sz w:val="20"/>
          <w:szCs w:val="20"/>
          <w:lang w:val="en-US"/>
        </w:rPr>
        <w:br w:type="textWrapping" w:clear="all"/>
      </w:r>
    </w:p>
    <w:p w14:paraId="56047290" w14:textId="77777777" w:rsidR="00550582" w:rsidRDefault="00550582" w:rsidP="00550582">
      <w:pPr>
        <w:autoSpaceDE w:val="0"/>
        <w:spacing w:line="288" w:lineRule="auto"/>
        <w:jc w:val="center"/>
        <w:textAlignment w:val="center"/>
        <w:rPr>
          <w:rFonts w:ascii="Arial" w:eastAsia="Arial-ItalicMT" w:hAnsi="Arial" w:cs="Arial"/>
          <w:i/>
          <w:iCs/>
          <w:color w:val="000000"/>
          <w:spacing w:val="4"/>
          <w:w w:val="85"/>
          <w:sz w:val="20"/>
          <w:szCs w:val="20"/>
          <w:lang w:val="en-US"/>
        </w:rPr>
      </w:pPr>
      <w:r>
        <w:rPr>
          <w:rFonts w:ascii="Arial" w:eastAsia="Arial-BoldMT" w:hAnsi="Arial" w:cs="Arial"/>
          <w:b/>
          <w:bCs/>
          <w:color w:val="000000"/>
          <w:spacing w:val="4"/>
          <w:w w:val="85"/>
          <w:sz w:val="20"/>
          <w:szCs w:val="20"/>
          <w:lang w:val="en-US"/>
        </w:rPr>
        <w:t>Source:</w:t>
      </w:r>
      <w:r>
        <w:rPr>
          <w:rFonts w:ascii="Arial" w:eastAsia="ArialMT" w:hAnsi="Arial" w:cs="Arial"/>
          <w:color w:val="000000"/>
          <w:spacing w:val="4"/>
          <w:w w:val="85"/>
          <w:sz w:val="20"/>
          <w:szCs w:val="20"/>
          <w:lang w:val="en-US"/>
        </w:rPr>
        <w:t xml:space="preserve"> Maria Marcela Bailez: “Intersex Disorders,” in: P. Puri and M. Höllwarth (eds.),</w:t>
      </w:r>
    </w:p>
    <w:p w14:paraId="03ABD562" w14:textId="77777777" w:rsidR="00550582" w:rsidRDefault="00550582" w:rsidP="00550582">
      <w:pPr>
        <w:autoSpaceDE w:val="0"/>
        <w:spacing w:line="288" w:lineRule="auto"/>
        <w:jc w:val="center"/>
        <w:textAlignment w:val="center"/>
        <w:rPr>
          <w:rFonts w:ascii="Arial" w:eastAsia="ArialMT" w:hAnsi="Arial" w:cs="Arial"/>
          <w:color w:val="000000"/>
          <w:spacing w:val="4"/>
          <w:w w:val="85"/>
          <w:sz w:val="20"/>
          <w:szCs w:val="20"/>
          <w:lang w:val="en-US"/>
        </w:rPr>
      </w:pPr>
      <w:r>
        <w:rPr>
          <w:rFonts w:ascii="Arial" w:eastAsia="Arial-ItalicMT" w:hAnsi="Arial" w:cs="Arial"/>
          <w:i/>
          <w:iCs/>
          <w:color w:val="000000"/>
          <w:spacing w:val="4"/>
          <w:w w:val="85"/>
          <w:sz w:val="20"/>
          <w:szCs w:val="20"/>
          <w:lang w:val="en-US"/>
        </w:rPr>
        <w:t>Pediatric Surgery: Diagnosis and Managemen</w:t>
      </w:r>
      <w:r>
        <w:rPr>
          <w:rFonts w:ascii="Arial" w:eastAsia="ArialMT" w:hAnsi="Arial" w:cs="Arial"/>
          <w:i/>
          <w:iCs/>
          <w:color w:val="000000"/>
          <w:spacing w:val="4"/>
          <w:w w:val="85"/>
          <w:sz w:val="20"/>
          <w:szCs w:val="20"/>
          <w:lang w:val="en-US"/>
        </w:rPr>
        <w:t xml:space="preserve">t, </w:t>
      </w:r>
      <w:r>
        <w:rPr>
          <w:rFonts w:ascii="Arial" w:eastAsia="ArialMT" w:hAnsi="Arial" w:cs="Arial"/>
          <w:color w:val="000000"/>
          <w:spacing w:val="4"/>
          <w:w w:val="85"/>
          <w:sz w:val="20"/>
          <w:szCs w:val="20"/>
          <w:lang w:val="en-US"/>
        </w:rPr>
        <w:t>Berlin Heidelberg 2009.</w:t>
      </w:r>
    </w:p>
    <w:p w14:paraId="7225C69F" w14:textId="77777777" w:rsidR="00550582" w:rsidRDefault="00550582" w:rsidP="00550582">
      <w:pPr>
        <w:autoSpaceDE w:val="0"/>
        <w:spacing w:line="288" w:lineRule="auto"/>
        <w:jc w:val="center"/>
        <w:textAlignment w:val="center"/>
        <w:rPr>
          <w:rFonts w:ascii="Arial" w:eastAsia="Arial-BoldMT" w:hAnsi="Arial" w:cs="Arial"/>
          <w:b/>
          <w:bCs/>
          <w:color w:val="000000"/>
          <w:spacing w:val="4"/>
          <w:w w:val="85"/>
          <w:sz w:val="20"/>
          <w:szCs w:val="20"/>
        </w:rPr>
      </w:pPr>
      <w:r>
        <w:rPr>
          <w:rFonts w:ascii="Arial" w:eastAsia="ArialMT" w:hAnsi="Arial" w:cs="Arial"/>
          <w:color w:val="000000"/>
          <w:spacing w:val="4"/>
          <w:w w:val="85"/>
          <w:sz w:val="20"/>
          <w:szCs w:val="20"/>
          <w:lang w:val="en-US"/>
        </w:rPr>
        <w:br w:type="page"/>
      </w:r>
      <w:r>
        <w:rPr>
          <w:rFonts w:ascii="Arial" w:eastAsia="Times-Roman" w:hAnsi="Arial" w:cs="Arial"/>
          <w:noProof/>
          <w:color w:val="000000"/>
          <w:sz w:val="32"/>
          <w:szCs w:val="32"/>
          <w:lang w:val="en-GB" w:eastAsia="en-GB" w:bidi="ar-SA"/>
        </w:rPr>
        <w:lastRenderedPageBreak/>
        <w:drawing>
          <wp:inline distT="0" distB="0" distL="0" distR="0" wp14:anchorId="2F1FE236" wp14:editId="7535FE0B">
            <wp:extent cx="2879725" cy="2768600"/>
            <wp:effectExtent l="0" t="0" r="0" b="0"/>
            <wp:docPr id="21" name="Bild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9725" cy="2768600"/>
                    </a:xfrm>
                    <a:prstGeom prst="rect">
                      <a:avLst/>
                    </a:prstGeom>
                    <a:solidFill>
                      <a:srgbClr val="FFFFFF"/>
                    </a:solidFill>
                    <a:ln>
                      <a:noFill/>
                    </a:ln>
                  </pic:spPr>
                </pic:pic>
              </a:graphicData>
            </a:graphic>
          </wp:inline>
        </w:drawing>
      </w:r>
    </w:p>
    <w:p w14:paraId="2E41C08B" w14:textId="77777777" w:rsidR="00550582" w:rsidRDefault="00550582" w:rsidP="00550582">
      <w:pPr>
        <w:autoSpaceDE w:val="0"/>
        <w:spacing w:line="288" w:lineRule="auto"/>
        <w:jc w:val="center"/>
        <w:textAlignment w:val="center"/>
      </w:pPr>
      <w:r>
        <w:rPr>
          <w:rFonts w:ascii="Arial" w:eastAsia="Arial-BoldMT" w:hAnsi="Arial" w:cs="Arial"/>
          <w:b/>
          <w:bCs/>
          <w:color w:val="000000"/>
          <w:spacing w:val="4"/>
          <w:w w:val="85"/>
          <w:sz w:val="20"/>
          <w:szCs w:val="20"/>
        </w:rPr>
        <w:t>Source:</w:t>
      </w:r>
      <w:r>
        <w:rPr>
          <w:rFonts w:ascii="Arial" w:eastAsia="ArialMT" w:hAnsi="Arial" w:cs="Arial"/>
          <w:color w:val="000000"/>
          <w:spacing w:val="4"/>
          <w:w w:val="85"/>
          <w:sz w:val="20"/>
          <w:szCs w:val="20"/>
        </w:rPr>
        <w:t xml:space="preserve"> J. Pleskacova, R. Hersmus, J. Wolter Oosterhuis, B.A. Setyawati, S.M. Faradz, Martine Cools, Katja P. Wolffenbuttel, J. Lebl, Stenvert L.S. Drop, Leendert H.J. Looijenga: “Tumor risk in disorders of sex development,” in: </w:t>
      </w:r>
      <w:r>
        <w:rPr>
          <w:rFonts w:ascii="Arial" w:eastAsia="Arial-ItalicMT" w:hAnsi="Arial" w:cs="Arial"/>
          <w:i/>
          <w:iCs/>
          <w:color w:val="000000"/>
          <w:spacing w:val="4"/>
          <w:w w:val="85"/>
          <w:sz w:val="20"/>
          <w:szCs w:val="20"/>
        </w:rPr>
        <w:t xml:space="preserve">Sexual Development </w:t>
      </w:r>
      <w:r>
        <w:rPr>
          <w:rFonts w:ascii="Arial" w:eastAsia="ArialMT" w:hAnsi="Arial" w:cs="Arial"/>
          <w:color w:val="000000"/>
          <w:spacing w:val="4"/>
          <w:w w:val="85"/>
          <w:sz w:val="20"/>
          <w:szCs w:val="20"/>
        </w:rPr>
        <w:t>2010 Sep;4(4-5):259-69.</w:t>
      </w:r>
    </w:p>
    <w:p w14:paraId="2B8454DC" w14:textId="77777777" w:rsidR="00550582" w:rsidRDefault="00550582" w:rsidP="00550582">
      <w:pPr>
        <w:autoSpaceDE w:val="0"/>
        <w:spacing w:line="288" w:lineRule="auto"/>
        <w:jc w:val="center"/>
        <w:textAlignment w:val="center"/>
        <w:rPr>
          <w:rFonts w:ascii="Arial" w:eastAsia="Arial-BoldMT" w:hAnsi="Arial" w:cs="Arial"/>
          <w:b/>
          <w:bCs/>
          <w:color w:val="000000"/>
          <w:spacing w:val="4"/>
          <w:w w:val="85"/>
          <w:sz w:val="20"/>
          <w:szCs w:val="20"/>
          <w:lang w:val="en-US"/>
        </w:rPr>
      </w:pPr>
      <w:r>
        <w:rPr>
          <w:rFonts w:ascii="Arial" w:eastAsia="Times-Roman" w:hAnsi="Arial" w:cs="Arial"/>
          <w:noProof/>
          <w:color w:val="000000"/>
          <w:sz w:val="32"/>
          <w:szCs w:val="32"/>
          <w:lang w:val="en-GB" w:eastAsia="en-GB" w:bidi="ar-SA"/>
        </w:rPr>
        <w:drawing>
          <wp:inline distT="0" distB="0" distL="0" distR="0" wp14:anchorId="335FD054" wp14:editId="7DC7E261">
            <wp:extent cx="3239135" cy="1905635"/>
            <wp:effectExtent l="0" t="0" r="0" b="0"/>
            <wp:docPr id="22" name="Bild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9135" cy="1905635"/>
                    </a:xfrm>
                    <a:prstGeom prst="rect">
                      <a:avLst/>
                    </a:prstGeom>
                    <a:solidFill>
                      <a:srgbClr val="FFFFFF"/>
                    </a:solidFill>
                    <a:ln>
                      <a:noFill/>
                    </a:ln>
                  </pic:spPr>
                </pic:pic>
              </a:graphicData>
            </a:graphic>
          </wp:inline>
        </w:drawing>
      </w:r>
    </w:p>
    <w:p w14:paraId="0EB856E3" w14:textId="77777777" w:rsidR="00550582" w:rsidRDefault="00550582" w:rsidP="00550582">
      <w:pPr>
        <w:autoSpaceDE w:val="0"/>
        <w:spacing w:line="288" w:lineRule="auto"/>
        <w:jc w:val="center"/>
        <w:textAlignment w:val="center"/>
        <w:rPr>
          <w:rFonts w:ascii="Arial" w:eastAsia="ArialMT" w:hAnsi="Arial" w:cs="Arial"/>
          <w:color w:val="000000"/>
          <w:spacing w:val="4"/>
          <w:w w:val="85"/>
          <w:sz w:val="20"/>
          <w:szCs w:val="20"/>
          <w:lang w:val="en-US"/>
        </w:rPr>
      </w:pPr>
      <w:r>
        <w:rPr>
          <w:rFonts w:ascii="Arial" w:eastAsia="Arial-BoldMT" w:hAnsi="Arial" w:cs="Arial"/>
          <w:b/>
          <w:bCs/>
          <w:color w:val="000000"/>
          <w:spacing w:val="4"/>
          <w:w w:val="85"/>
          <w:sz w:val="20"/>
          <w:szCs w:val="20"/>
          <w:lang w:val="en-US"/>
        </w:rPr>
        <w:t>Source:</w:t>
      </w:r>
      <w:r>
        <w:rPr>
          <w:rFonts w:ascii="Arial" w:eastAsia="ArialMT" w:hAnsi="Arial" w:cs="Arial"/>
          <w:color w:val="000000"/>
          <w:spacing w:val="4"/>
          <w:w w:val="85"/>
          <w:sz w:val="20"/>
          <w:szCs w:val="20"/>
          <w:lang w:val="en-US"/>
        </w:rPr>
        <w:t xml:space="preserve"> J. L. Pippi Salle: “Decisions and Dilemmas in the Management</w:t>
      </w:r>
    </w:p>
    <w:p w14:paraId="50EA0992" w14:textId="77777777" w:rsidR="00550582" w:rsidRDefault="00550582" w:rsidP="00550582">
      <w:pPr>
        <w:autoSpaceDE w:val="0"/>
        <w:spacing w:line="288" w:lineRule="auto"/>
        <w:jc w:val="center"/>
        <w:textAlignment w:val="center"/>
        <w:rPr>
          <w:rFonts w:ascii="Arial" w:eastAsia="ColossalisBold" w:hAnsi="Arial" w:cs="Arial"/>
          <w:color w:val="2F387F"/>
          <w:spacing w:val="2"/>
          <w:w w:val="85"/>
          <w:sz w:val="28"/>
          <w:szCs w:val="28"/>
          <w:lang w:val="en-GB"/>
        </w:rPr>
      </w:pPr>
      <w:r>
        <w:rPr>
          <w:rFonts w:ascii="Arial" w:eastAsia="ArialMT" w:hAnsi="Arial" w:cs="Arial"/>
          <w:color w:val="000000"/>
          <w:spacing w:val="4"/>
          <w:w w:val="85"/>
          <w:sz w:val="20"/>
          <w:szCs w:val="20"/>
          <w:lang w:val="en-US"/>
        </w:rPr>
        <w:lastRenderedPageBreak/>
        <w:t>of Disorders of Sexual [sic!] Development (DSD),” 2007, at 20.</w:t>
      </w:r>
    </w:p>
    <w:p w14:paraId="3D7E0E57" w14:textId="0A16B0D5" w:rsidR="00550582" w:rsidRPr="00F35BDB" w:rsidRDefault="00550582" w:rsidP="0093535A">
      <w:pPr>
        <w:pStyle w:val="Title2"/>
      </w:pPr>
      <w:bookmarkStart w:id="79" w:name="4_Bad_results__Gonadectomy_Feminizing_Ge"/>
      <w:r>
        <w:br w:type="page"/>
      </w:r>
      <w:bookmarkStart w:id="80" w:name="_Toc453620777"/>
      <w:bookmarkStart w:id="81" w:name="_Toc6284931"/>
      <w:bookmarkStart w:id="82" w:name="_Toc11105555"/>
      <w:r>
        <w:lastRenderedPageBreak/>
        <w:t>“Bad results” / “</w:t>
      </w:r>
      <w:r w:rsidRPr="00F516CE">
        <w:t>Gonadectomy, Feminizing Genitoplasty</w:t>
      </w:r>
      <w:bookmarkEnd w:id="79"/>
      <w:bookmarkEnd w:id="80"/>
      <w:bookmarkEnd w:id="81"/>
      <w:r>
        <w:t>”</w:t>
      </w:r>
      <w:bookmarkEnd w:id="82"/>
    </w:p>
    <w:p w14:paraId="27F8F374" w14:textId="77777777" w:rsidR="00550582" w:rsidRPr="0096134E" w:rsidRDefault="00550582" w:rsidP="00550582">
      <w:pPr>
        <w:autoSpaceDE w:val="0"/>
        <w:spacing w:line="288" w:lineRule="auto"/>
        <w:jc w:val="center"/>
        <w:textAlignment w:val="center"/>
        <w:rPr>
          <w:rFonts w:ascii="Arial" w:eastAsia="Arial-BoldMT" w:hAnsi="Arial" w:cs="Arial"/>
          <w:b/>
          <w:bCs/>
          <w:color w:val="000000"/>
          <w:spacing w:val="4"/>
          <w:w w:val="85"/>
          <w:sz w:val="20"/>
          <w:szCs w:val="20"/>
          <w:lang w:val="en-US"/>
        </w:rPr>
      </w:pPr>
      <w:r>
        <w:rPr>
          <w:rFonts w:ascii="Arial" w:eastAsia="Times-Roman" w:hAnsi="Arial" w:cs="Arial"/>
          <w:noProof/>
          <w:color w:val="000000"/>
          <w:sz w:val="32"/>
          <w:szCs w:val="32"/>
          <w:lang w:val="en-GB" w:eastAsia="en-GB" w:bidi="ar-SA"/>
        </w:rPr>
        <w:drawing>
          <wp:inline distT="0" distB="0" distL="0" distR="0" wp14:anchorId="7844A875" wp14:editId="7CFF8F34">
            <wp:extent cx="5760085" cy="2341245"/>
            <wp:effectExtent l="0" t="0" r="0" b="0"/>
            <wp:docPr id="23" name="Bild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2341245"/>
                    </a:xfrm>
                    <a:prstGeom prst="rect">
                      <a:avLst/>
                    </a:prstGeom>
                    <a:solidFill>
                      <a:srgbClr val="FFFFFF"/>
                    </a:solidFill>
                    <a:ln>
                      <a:noFill/>
                    </a:ln>
                  </pic:spPr>
                </pic:pic>
              </a:graphicData>
            </a:graphic>
          </wp:inline>
        </w:drawing>
      </w:r>
    </w:p>
    <w:p w14:paraId="14A0666F" w14:textId="77777777" w:rsidR="00550582" w:rsidRPr="0093535A" w:rsidRDefault="00550582" w:rsidP="00550582">
      <w:pPr>
        <w:autoSpaceDE w:val="0"/>
        <w:spacing w:line="288" w:lineRule="auto"/>
        <w:jc w:val="center"/>
        <w:textAlignment w:val="center"/>
      </w:pPr>
      <w:r w:rsidRPr="0093535A">
        <w:rPr>
          <w:rFonts w:ascii="Arial" w:eastAsia="Arial-BoldMT" w:hAnsi="Arial" w:cs="Arial"/>
          <w:b/>
          <w:bCs/>
          <w:color w:val="000000"/>
          <w:spacing w:val="4"/>
          <w:w w:val="85"/>
          <w:sz w:val="20"/>
          <w:szCs w:val="20"/>
        </w:rPr>
        <w:t>Caption:</w:t>
      </w:r>
      <w:r w:rsidRPr="0093535A">
        <w:rPr>
          <w:rFonts w:ascii="Arial" w:eastAsia="ArialMT" w:hAnsi="Arial" w:cs="Arial"/>
          <w:color w:val="000000"/>
          <w:spacing w:val="4"/>
          <w:w w:val="85"/>
          <w:sz w:val="20"/>
          <w:szCs w:val="20"/>
        </w:rPr>
        <w:t xml:space="preserve"> 2a,b: </w:t>
      </w:r>
      <w:r w:rsidRPr="0093535A">
        <w:rPr>
          <w:rFonts w:ascii="Arial" w:eastAsia="Arial-BoldItalicMT" w:hAnsi="Arial" w:cs="Arial"/>
          <w:b/>
          <w:bCs/>
          <w:i/>
          <w:iCs/>
          <w:color w:val="000000"/>
          <w:spacing w:val="4"/>
          <w:w w:val="85"/>
          <w:sz w:val="20"/>
          <w:szCs w:val="20"/>
        </w:rPr>
        <w:t xml:space="preserve">“Bad Results of Correction after Feminisation, and”, </w:t>
      </w:r>
      <w:r w:rsidRPr="0093535A">
        <w:rPr>
          <w:rFonts w:ascii="Arial" w:eastAsia="ArialMT" w:hAnsi="Arial" w:cs="Arial"/>
          <w:color w:val="000000"/>
          <w:spacing w:val="4"/>
          <w:w w:val="85"/>
          <w:sz w:val="20"/>
          <w:szCs w:val="20"/>
        </w:rPr>
        <w:t xml:space="preserve">c,d: </w:t>
      </w:r>
      <w:r w:rsidRPr="0093535A">
        <w:rPr>
          <w:rFonts w:ascii="Arial" w:eastAsia="Arial-BoldItalicMT" w:hAnsi="Arial" w:cs="Arial"/>
          <w:b/>
          <w:bCs/>
          <w:i/>
          <w:iCs/>
          <w:color w:val="000000"/>
          <w:spacing w:val="4"/>
          <w:w w:val="85"/>
          <w:sz w:val="20"/>
          <w:szCs w:val="20"/>
        </w:rPr>
        <w:t xml:space="preserve">“after Hypospadias Repair” – </w:t>
      </w:r>
      <w:r w:rsidRPr="0093535A">
        <w:rPr>
          <w:rFonts w:ascii="Arial" w:eastAsia="Arial-BoldMT" w:hAnsi="Arial" w:cs="Arial"/>
          <w:b/>
          <w:bCs/>
          <w:color w:val="000000"/>
          <w:spacing w:val="4"/>
          <w:w w:val="85"/>
          <w:sz w:val="20"/>
          <w:szCs w:val="20"/>
        </w:rPr>
        <w:t>Source:</w:t>
      </w:r>
      <w:r w:rsidRPr="0093535A">
        <w:rPr>
          <w:rFonts w:ascii="Arial" w:eastAsia="ArialMT" w:hAnsi="Arial" w:cs="Arial"/>
          <w:color w:val="000000"/>
          <w:spacing w:val="4"/>
          <w:w w:val="85"/>
          <w:sz w:val="20"/>
          <w:szCs w:val="20"/>
        </w:rPr>
        <w:t xml:space="preserve"> M. Westenfelder: “Medizinische und juristische Aspekte zur Behandlung intersexueller Differenzierungsstörungen,” </w:t>
      </w:r>
      <w:r w:rsidRPr="0093535A">
        <w:rPr>
          <w:rFonts w:ascii="Arial" w:eastAsia="Arial-ItalicMT" w:hAnsi="Arial" w:cs="Arial"/>
          <w:i/>
          <w:iCs/>
          <w:color w:val="000000"/>
          <w:spacing w:val="4"/>
          <w:w w:val="85"/>
          <w:sz w:val="20"/>
          <w:szCs w:val="20"/>
        </w:rPr>
        <w:t>Der Urologe</w:t>
      </w:r>
      <w:r w:rsidRPr="0093535A">
        <w:rPr>
          <w:rFonts w:ascii="Arial" w:eastAsia="ArialMT" w:hAnsi="Arial" w:cs="Arial"/>
          <w:color w:val="000000"/>
          <w:spacing w:val="4"/>
          <w:w w:val="85"/>
          <w:sz w:val="20"/>
          <w:szCs w:val="20"/>
        </w:rPr>
        <w:t xml:space="preserve"> 5 / 2011 p. 593–599.</w:t>
      </w:r>
    </w:p>
    <w:p w14:paraId="68867A20" w14:textId="77777777" w:rsidR="00550582" w:rsidRDefault="00550582" w:rsidP="00550582">
      <w:pPr>
        <w:autoSpaceDE w:val="0"/>
        <w:jc w:val="center"/>
      </w:pPr>
      <w:r>
        <w:rPr>
          <w:rFonts w:ascii="Arial" w:eastAsia="Arial-BoldMT" w:hAnsi="Arial" w:cs="Arial"/>
          <w:b/>
          <w:noProof/>
          <w:color w:val="000000"/>
          <w:spacing w:val="4"/>
          <w:w w:val="85"/>
          <w:sz w:val="20"/>
          <w:szCs w:val="20"/>
          <w:lang w:val="en-GB" w:eastAsia="en-GB" w:bidi="ar-SA"/>
        </w:rPr>
        <w:drawing>
          <wp:inline distT="0" distB="0" distL="0" distR="0" wp14:anchorId="7325C416" wp14:editId="0AE0661F">
            <wp:extent cx="3597910" cy="2486660"/>
            <wp:effectExtent l="0" t="0" r="0" b="0"/>
            <wp:docPr id="24" name="Bild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7910" cy="2486660"/>
                    </a:xfrm>
                    <a:prstGeom prst="rect">
                      <a:avLst/>
                    </a:prstGeom>
                    <a:solidFill>
                      <a:srgbClr val="FFFFFF"/>
                    </a:solidFill>
                    <a:ln>
                      <a:noFill/>
                    </a:ln>
                  </pic:spPr>
                </pic:pic>
              </a:graphicData>
            </a:graphic>
          </wp:inline>
        </w:drawing>
      </w:r>
    </w:p>
    <w:p w14:paraId="0A081A9C" w14:textId="77777777" w:rsidR="00550582" w:rsidRDefault="00550582" w:rsidP="00550582">
      <w:pPr>
        <w:autoSpaceDE w:val="0"/>
        <w:jc w:val="center"/>
        <w:rPr>
          <w:rFonts w:ascii="Arial" w:eastAsia="Arial-BoldMT" w:hAnsi="Arial" w:cs="Arial"/>
          <w:b/>
          <w:bCs/>
          <w:color w:val="000000"/>
          <w:spacing w:val="4"/>
          <w:w w:val="85"/>
          <w:sz w:val="20"/>
          <w:szCs w:val="20"/>
          <w:lang w:val="en-US"/>
        </w:rPr>
      </w:pPr>
      <w:r>
        <w:rPr>
          <w:rFonts w:ascii="Arial" w:hAnsi="Arial" w:cs="Arial"/>
          <w:noProof/>
          <w:lang w:val="en-GB" w:eastAsia="en-GB" w:bidi="ar-SA"/>
        </w:rPr>
        <w:lastRenderedPageBreak/>
        <w:drawing>
          <wp:inline distT="0" distB="0" distL="0" distR="0" wp14:anchorId="5DBA7CEA" wp14:editId="56570C0D">
            <wp:extent cx="3589020" cy="2478405"/>
            <wp:effectExtent l="0" t="0" r="0" b="0"/>
            <wp:docPr id="25" name="Bild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9020" cy="2478405"/>
                    </a:xfrm>
                    <a:prstGeom prst="rect">
                      <a:avLst/>
                    </a:prstGeom>
                    <a:solidFill>
                      <a:srgbClr val="FFFFFF"/>
                    </a:solidFill>
                    <a:ln>
                      <a:noFill/>
                    </a:ln>
                  </pic:spPr>
                </pic:pic>
              </a:graphicData>
            </a:graphic>
          </wp:inline>
        </w:drawing>
      </w:r>
    </w:p>
    <w:p w14:paraId="73F1853F" w14:textId="77777777" w:rsidR="00550582" w:rsidRDefault="00550582" w:rsidP="00550582">
      <w:pPr>
        <w:autoSpaceDE w:val="0"/>
        <w:jc w:val="center"/>
        <w:rPr>
          <w:rFonts w:ascii="Arial" w:eastAsia="ArialMT" w:hAnsi="Arial" w:cs="Arial"/>
          <w:color w:val="000000"/>
          <w:spacing w:val="4"/>
          <w:w w:val="85"/>
          <w:sz w:val="20"/>
          <w:szCs w:val="20"/>
          <w:lang w:val="en-US"/>
        </w:rPr>
      </w:pPr>
      <w:r>
        <w:rPr>
          <w:rFonts w:ascii="Arial" w:eastAsia="Arial-BoldMT" w:hAnsi="Arial" w:cs="Arial"/>
          <w:b/>
          <w:bCs/>
          <w:color w:val="000000"/>
          <w:spacing w:val="4"/>
          <w:w w:val="85"/>
          <w:sz w:val="20"/>
          <w:szCs w:val="20"/>
          <w:lang w:val="en-US"/>
        </w:rPr>
        <w:t>Source:</w:t>
      </w:r>
      <w:r>
        <w:rPr>
          <w:rFonts w:ascii="Arial" w:eastAsia="ArialMT" w:hAnsi="Arial" w:cs="Arial"/>
          <w:color w:val="000000"/>
          <w:spacing w:val="4"/>
          <w:w w:val="85"/>
          <w:sz w:val="20"/>
          <w:szCs w:val="20"/>
          <w:lang w:val="en-US"/>
        </w:rPr>
        <w:t xml:space="preserve"> J. L. Pippi Salle: “Decisions and Dilemmas in the Management</w:t>
      </w:r>
    </w:p>
    <w:p w14:paraId="1391B308" w14:textId="77777777" w:rsidR="00550582" w:rsidRDefault="00550582" w:rsidP="00550582">
      <w:pPr>
        <w:autoSpaceDE w:val="0"/>
        <w:jc w:val="center"/>
        <w:rPr>
          <w:rFonts w:ascii="Arial" w:eastAsia="Arial-BoldMT" w:hAnsi="Arial" w:cs="Arial"/>
          <w:b/>
          <w:bCs/>
          <w:color w:val="000000"/>
          <w:spacing w:val="2"/>
          <w:w w:val="90"/>
          <w:lang w:val="en-GB"/>
        </w:rPr>
      </w:pPr>
      <w:r>
        <w:rPr>
          <w:rFonts w:ascii="Arial" w:eastAsia="ArialMT" w:hAnsi="Arial" w:cs="Arial"/>
          <w:color w:val="000000"/>
          <w:spacing w:val="4"/>
          <w:w w:val="85"/>
          <w:sz w:val="20"/>
          <w:szCs w:val="20"/>
          <w:lang w:val="en-US"/>
        </w:rPr>
        <w:t>of Disorders of Sexual [sic!] Development (DSD)”, 2007, at</w:t>
      </w:r>
      <w:r>
        <w:rPr>
          <w:rFonts w:eastAsia="ArialMT" w:cs="Times New Roman"/>
          <w:color w:val="000000"/>
          <w:spacing w:val="4"/>
          <w:w w:val="85"/>
          <w:sz w:val="20"/>
          <w:szCs w:val="20"/>
          <w:lang w:val="en-US"/>
        </w:rPr>
        <w:t xml:space="preserve"> 20.</w:t>
      </w:r>
    </w:p>
    <w:p w14:paraId="578DF82C" w14:textId="77777777" w:rsidR="00550582" w:rsidRDefault="00550582" w:rsidP="00550582">
      <w:pPr>
        <w:autoSpaceDE w:val="0"/>
        <w:spacing w:line="288" w:lineRule="auto"/>
        <w:jc w:val="both"/>
        <w:textAlignment w:val="center"/>
        <w:rPr>
          <w:rFonts w:ascii="Arial" w:eastAsia="Arial-BoldMT" w:hAnsi="Arial" w:cs="Arial"/>
          <w:b/>
          <w:bCs/>
          <w:color w:val="000000"/>
          <w:spacing w:val="2"/>
          <w:w w:val="90"/>
          <w:lang w:val="en-GB"/>
        </w:rPr>
      </w:pPr>
    </w:p>
    <w:p w14:paraId="39C8A9C0" w14:textId="77777777" w:rsidR="0047343B" w:rsidRPr="007874DB" w:rsidRDefault="0047343B" w:rsidP="007874DB">
      <w:pPr>
        <w:widowControl/>
        <w:suppressAutoHyphens w:val="0"/>
        <w:textAlignment w:val="auto"/>
        <w:rPr>
          <w:rFonts w:eastAsia="Baskerville" w:cs="Baskerville"/>
          <w:color w:val="000000"/>
          <w:spacing w:val="2"/>
          <w:lang w:val="en-GB"/>
        </w:rPr>
      </w:pPr>
    </w:p>
    <w:sectPr w:rsidR="0047343B" w:rsidRPr="007874DB" w:rsidSect="008D4606">
      <w:footerReference w:type="default" r:id="rId31"/>
      <w:pgSz w:w="11906" w:h="16838"/>
      <w:pgMar w:top="1134" w:right="1134" w:bottom="1134" w:left="1134" w:header="720" w:footer="62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A7141" w14:textId="77777777" w:rsidR="0005639D" w:rsidRDefault="0005639D">
      <w:r>
        <w:separator/>
      </w:r>
    </w:p>
  </w:endnote>
  <w:endnote w:type="continuationSeparator" w:id="0">
    <w:p w14:paraId="5B646EAA" w14:textId="77777777" w:rsidR="0005639D" w:rsidRDefault="00056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Baskerville">
    <w:altName w:val="Cambria Math"/>
    <w:charset w:val="00"/>
    <w:family w:val="roman"/>
    <w:pitch w:val="variable"/>
    <w:sig w:usb0="00000001" w:usb1="02000000" w:usb2="00000000" w:usb3="00000000" w:csb0="0000019F" w:csb1="00000000"/>
  </w:font>
  <w:font w:name="Baskerville-Bold">
    <w:altName w:val="MS Mincho"/>
    <w:charset w:val="00"/>
    <w:family w:val="auto"/>
    <w:pitch w:val="default"/>
  </w:font>
  <w:font w:name="OpenSymbol">
    <w:charset w:val="80"/>
    <w:family w:val="auto"/>
    <w:pitch w:val="default"/>
  </w:font>
  <w:font w:name="Baskerville-SemiBold">
    <w:altName w:val="MS Mincho"/>
    <w:charset w:val="00"/>
    <w:family w:val="roman"/>
    <w:pitch w:val="variable"/>
    <w:sig w:usb0="80000067" w:usb1="02000040" w:usb2="00000000" w:usb3="00000000" w:csb0="0000019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0"/>
    <w:family w:val="roman"/>
    <w:pitch w:val="variable"/>
    <w:sig w:usb0="00008003" w:usb1="00000000" w:usb2="00000000" w:usb3="00000000" w:csb0="00000001" w:csb1="00000000"/>
  </w:font>
  <w:font w:name="MinionPro-Regular">
    <w:altName w:val="MS Mincho"/>
    <w:charset w:val="80"/>
    <w:family w:val="auto"/>
    <w:pitch w:val="default"/>
  </w:font>
  <w:font w:name="Helvetica-Bold">
    <w:altName w:val="Times New Roman"/>
    <w:charset w:val="00"/>
    <w:family w:val="auto"/>
    <w:pitch w:val="variable"/>
    <w:sig w:usb0="00000001" w:usb1="5000785B" w:usb2="00000000" w:usb3="00000000" w:csb0="0000019F" w:csb1="00000000"/>
  </w:font>
  <w:font w:name="Baskerville-Italic">
    <w:altName w:val="MS Mincho"/>
    <w:charset w:val="80"/>
    <w:family w:val="script"/>
    <w:pitch w:val="default"/>
  </w:font>
  <w:font w:name="Arial-BoldMT">
    <w:altName w:val="Arial Unicode MS"/>
    <w:charset w:val="80"/>
    <w:family w:val="swiss"/>
    <w:pitch w:val="default"/>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olossalisBold">
    <w:altName w:val="MS Mincho"/>
    <w:charset w:val="80"/>
    <w:family w:val="auto"/>
    <w:pitch w:val="default"/>
  </w:font>
  <w:font w:name="ArialMT">
    <w:altName w:val="Arial"/>
    <w:charset w:val="80"/>
    <w:family w:val="swiss"/>
    <w:pitch w:val="default"/>
  </w:font>
  <w:font w:name="MS Mincho">
    <w:altName w:val="Yu Gothic UI"/>
    <w:panose1 w:val="02020609040205080304"/>
    <w:charset w:val="80"/>
    <w:family w:val="modern"/>
    <w:pitch w:val="fixed"/>
    <w:sig w:usb0="E00002FF" w:usb1="6AC7FDFB" w:usb2="00000012" w:usb3="00000000" w:csb0="0002009F" w:csb1="00000000"/>
  </w:font>
  <w:font w:name="Baskerville-SemiBoldItalic">
    <w:altName w:val="MS Mincho"/>
    <w:charset w:val="00"/>
    <w:family w:val="script"/>
    <w:pitch w:val="default"/>
  </w:font>
  <w:font w:name="MS Gothic">
    <w:altName w:val="ＭＳ ゴシック"/>
    <w:panose1 w:val="020B0609070205080204"/>
    <w:charset w:val="80"/>
    <w:family w:val="modern"/>
    <w:pitch w:val="fixed"/>
    <w:sig w:usb0="E00002FF" w:usb1="6AC7FDFB" w:usb2="08000012" w:usb3="00000000" w:csb0="0002009F" w:csb1="00000000"/>
  </w:font>
  <w:font w:name="HelveticaNeue-Bold">
    <w:altName w:val="MS Mincho"/>
    <w:charset w:val="80"/>
    <w:family w:val="swiss"/>
    <w:pitch w:val="default"/>
  </w:font>
  <w:font w:name="HelveticaNeue">
    <w:altName w:val="MS Mincho"/>
    <w:charset w:val="80"/>
    <w:family w:val="swiss"/>
    <w:pitch w:val="default"/>
    <w:sig w:usb0="E50002FF" w:usb1="500079DB" w:usb2="00000010" w:usb3="00000000" w:csb0="00000001" w:csb1="00000000"/>
  </w:font>
  <w:font w:name="HelveticaNeue-Italic">
    <w:altName w:val="MS Mincho"/>
    <w:charset w:val="80"/>
    <w:family w:val="swiss"/>
    <w:pitch w:val="default"/>
  </w:font>
  <w:font w:name="Times-Roman">
    <w:altName w:val="MS PMincho"/>
    <w:charset w:val="80"/>
    <w:family w:val="roman"/>
    <w:pitch w:val="default"/>
  </w:font>
  <w:font w:name="Arial-ItalicMT">
    <w:altName w:val="MS Mincho"/>
    <w:charset w:val="80"/>
    <w:family w:val="swiss"/>
    <w:pitch w:val="default"/>
  </w:font>
  <w:font w:name="Arial-BoldItalicMT">
    <w:altName w:val="MS Mincho"/>
    <w:charset w:val="80"/>
    <w:family w:val="swiss"/>
    <w:pitch w:val="default"/>
  </w:font>
  <w:font w:name="Calibri">
    <w:altName w:val="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A7C36" w14:textId="33500AAC" w:rsidR="00602714" w:rsidRPr="00EA246E" w:rsidRDefault="00602714" w:rsidP="007018B7">
    <w:pPr>
      <w:pStyle w:val="Footer"/>
      <w:jc w:val="center"/>
      <w:rPr>
        <w:rFonts w:cs="Times New Roman"/>
        <w:b/>
      </w:rPr>
    </w:pPr>
    <w:r w:rsidRPr="00EA246E">
      <w:rPr>
        <w:b/>
      </w:rPr>
      <w:fldChar w:fldCharType="begin"/>
    </w:r>
    <w:r w:rsidRPr="007018B7">
      <w:rPr>
        <w:b/>
      </w:rPr>
      <w:instrText>PAGE   \* MERGEFORMAT</w:instrText>
    </w:r>
    <w:r w:rsidRPr="00EA246E">
      <w:rPr>
        <w:b/>
      </w:rPr>
      <w:fldChar w:fldCharType="separate"/>
    </w:r>
    <w:r w:rsidR="00AD4F28" w:rsidRPr="00AD4F28">
      <w:rPr>
        <w:rFonts w:cs="Times New Roman"/>
        <w:b/>
        <w:noProof/>
        <w:lang w:val="de-DE"/>
      </w:rPr>
      <w:t>2</w:t>
    </w:r>
    <w:r w:rsidRPr="00EA246E">
      <w:rPr>
        <w:rFonts w:cs="Times New Roman"/>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6A453A" w14:textId="77777777" w:rsidR="0005639D" w:rsidRDefault="0005639D">
      <w:r>
        <w:separator/>
      </w:r>
    </w:p>
  </w:footnote>
  <w:footnote w:type="continuationSeparator" w:id="0">
    <w:p w14:paraId="6FFCCA05" w14:textId="77777777" w:rsidR="0005639D" w:rsidRDefault="0005639D">
      <w:r>
        <w:continuationSeparator/>
      </w:r>
    </w:p>
  </w:footnote>
  <w:footnote w:id="1">
    <w:p w14:paraId="4694331D" w14:textId="77777777" w:rsidR="00602714" w:rsidRPr="0070408F" w:rsidRDefault="00602714" w:rsidP="00E64E50">
      <w:pPr>
        <w:pStyle w:val="fussnoteschattenbericht"/>
        <w:rPr>
          <w:rFonts w:cs="Times New Roman"/>
        </w:rPr>
      </w:pPr>
      <w:r w:rsidRPr="00047A08">
        <w:rPr>
          <w:rStyle w:val="FootnoteSymbol"/>
        </w:rPr>
        <w:footnoteRef/>
      </w:r>
      <w:r w:rsidRPr="0070408F">
        <w:rPr>
          <w:rFonts w:cs="Times New Roman"/>
        </w:rPr>
        <w:tab/>
      </w:r>
      <w:hyperlink r:id="rId1" w:history="1">
        <w:r w:rsidRPr="00F60D7B">
          <w:rPr>
            <w:rStyle w:val="Hyperlink"/>
            <w:rFonts w:eastAsia="Arial Unicode MS"/>
            <w:spacing w:val="0"/>
            <w:lang w:val="en-US"/>
          </w:rPr>
          <w:t>http://Zwischengeschlecht.org/</w:t>
        </w:r>
      </w:hyperlink>
      <w:r>
        <w:rPr>
          <w:rStyle w:val="Hyperlink"/>
          <w:rFonts w:eastAsia="Arial Unicode MS"/>
          <w:spacing w:val="0"/>
          <w:lang w:val="en-US"/>
        </w:rPr>
        <w:t xml:space="preserve"> </w:t>
      </w:r>
      <w:r w:rsidRPr="0070408F">
        <w:rPr>
          <w:rFonts w:cs="Times New Roman"/>
        </w:rPr>
        <w:t xml:space="preserve"> English </w:t>
      </w:r>
      <w:r>
        <w:rPr>
          <w:rFonts w:cs="Times New Roman"/>
        </w:rPr>
        <w:t>homepage</w:t>
      </w:r>
      <w:r w:rsidRPr="0070408F">
        <w:rPr>
          <w:rFonts w:cs="Times New Roman"/>
        </w:rPr>
        <w:t xml:space="preserve">: </w:t>
      </w:r>
      <w:hyperlink r:id="rId2" w:history="1">
        <w:r w:rsidRPr="003C6235">
          <w:rPr>
            <w:rStyle w:val="Hyperlink"/>
            <w:rFonts w:eastAsia="Arial Unicode MS"/>
            <w:spacing w:val="0"/>
            <w:lang w:val="en-US"/>
          </w:rPr>
          <w:t>http://stop.genitalmutilation.org</w:t>
        </w:r>
      </w:hyperlink>
      <w:r>
        <w:t xml:space="preserve"> </w:t>
      </w:r>
    </w:p>
  </w:footnote>
  <w:footnote w:id="2">
    <w:p w14:paraId="3E79C5BD" w14:textId="77777777" w:rsidR="00602714" w:rsidRPr="0070408F" w:rsidRDefault="00602714" w:rsidP="00E64E50">
      <w:pPr>
        <w:pStyle w:val="fussnoteschattenbericht"/>
        <w:rPr>
          <w:rFonts w:cs="Times New Roman"/>
        </w:rPr>
      </w:pPr>
      <w:r w:rsidRPr="00047A08">
        <w:rPr>
          <w:rStyle w:val="FootnoteSymbol"/>
        </w:rPr>
        <w:footnoteRef/>
      </w:r>
      <w:r w:rsidRPr="0070408F">
        <w:rPr>
          <w:rFonts w:cs="Times New Roman"/>
        </w:rPr>
        <w:tab/>
      </w:r>
      <w:hyperlink r:id="rId3" w:history="1">
        <w:r w:rsidRPr="0093535A">
          <w:rPr>
            <w:rStyle w:val="Hyperlink"/>
            <w:rFonts w:eastAsia="Arial Unicode MS"/>
            <w:spacing w:val="0"/>
          </w:rPr>
          <w:t>http://zwischengeschlecht.org/post/Statuten</w:t>
        </w:r>
      </w:hyperlink>
      <w:r w:rsidRPr="0093535A">
        <w:rPr>
          <w:rStyle w:val="Hyperlink"/>
          <w:rFonts w:eastAsia="Arial Unicode MS"/>
          <w:spacing w:val="0"/>
        </w:rPr>
        <w:t xml:space="preserve"> </w:t>
      </w:r>
    </w:p>
  </w:footnote>
  <w:footnote w:id="3">
    <w:p w14:paraId="22650E65" w14:textId="77777777" w:rsidR="00602714" w:rsidRPr="00E37983" w:rsidRDefault="00602714" w:rsidP="00E64E50">
      <w:pPr>
        <w:pStyle w:val="fussnoteschattenbericht"/>
      </w:pPr>
      <w:r w:rsidRPr="00651DA7">
        <w:rPr>
          <w:rStyle w:val="FootnoteReference"/>
          <w:vertAlign w:val="baseline"/>
        </w:rPr>
        <w:footnoteRef/>
      </w:r>
      <w:r w:rsidRPr="00651DA7">
        <w:rPr>
          <w:rStyle w:val="FootnoteReference"/>
          <w:vertAlign w:val="baseline"/>
        </w:rPr>
        <w:t xml:space="preserve"> </w:t>
      </w:r>
      <w:r>
        <w:tab/>
      </w:r>
      <w:hyperlink r:id="rId4" w:history="1">
        <w:r w:rsidRPr="00E37983">
          <w:rPr>
            <w:rStyle w:val="Hyperlink"/>
            <w:lang w:eastAsia="en-US" w:bidi="ar-SA"/>
          </w:rPr>
          <w:t>http://intersex.shadowreport.org</w:t>
        </w:r>
      </w:hyperlink>
    </w:p>
  </w:footnote>
  <w:footnote w:id="4">
    <w:p w14:paraId="19E5EE6B" w14:textId="77777777" w:rsidR="00602714" w:rsidRDefault="00602714" w:rsidP="00E64E50">
      <w:pPr>
        <w:pStyle w:val="fussnoteschattenbericht"/>
      </w:pPr>
      <w:r w:rsidRPr="00651DA7">
        <w:rPr>
          <w:rStyle w:val="FootnoteReference"/>
          <w:vertAlign w:val="baseline"/>
        </w:rPr>
        <w:footnoteRef/>
      </w:r>
      <w:r w:rsidRPr="00651DA7">
        <w:rPr>
          <w:rStyle w:val="FootnoteReference"/>
          <w:vertAlign w:val="baseline"/>
        </w:rPr>
        <w:t xml:space="preserve"> </w:t>
      </w:r>
      <w:r>
        <w:tab/>
      </w:r>
      <w:hyperlink r:id="rId5" w:history="1">
        <w:r w:rsidRPr="00AB33A4">
          <w:rPr>
            <w:rStyle w:val="Hyperlink"/>
          </w:rPr>
          <w:t>http://stop.genitalmutilation.org/post/IAD-2016-Soon-20-UN-Reprimands-for-Intersex-Genital-Mutilations</w:t>
        </w:r>
      </w:hyperlink>
      <w:r>
        <w:t xml:space="preserve"> </w:t>
      </w:r>
    </w:p>
  </w:footnote>
  <w:footnote w:id="5">
    <w:p w14:paraId="74B67B40" w14:textId="17749AE8" w:rsidR="00602714" w:rsidRPr="00E64E50" w:rsidRDefault="00602714" w:rsidP="00E64E50">
      <w:pPr>
        <w:pStyle w:val="fussnoteschattenbericht"/>
      </w:pPr>
      <w:r w:rsidRPr="00E64E50">
        <w:rPr>
          <w:rStyle w:val="FootnoteReference"/>
          <w:vertAlign w:val="baseline"/>
        </w:rPr>
        <w:footnoteRef/>
      </w:r>
      <w:r w:rsidRPr="00E64E50">
        <w:t xml:space="preserve"> </w:t>
      </w:r>
      <w:r w:rsidRPr="00E64E50">
        <w:tab/>
      </w:r>
      <w:hyperlink r:id="rId6" w:history="1">
        <w:r w:rsidRPr="00B726C5">
          <w:rPr>
            <w:rStyle w:val="Hyperlink"/>
            <w:sz w:val="19"/>
            <w:szCs w:val="19"/>
          </w:rPr>
          <w:t>http://intersex.shadowreport.org/public/2018-CEDAW-LOI-Austria-NGO-Zwischengeschlecht-Intersex-IGM.pdf</w:t>
        </w:r>
      </w:hyperlink>
      <w:r>
        <w:t xml:space="preserve"> </w:t>
      </w:r>
    </w:p>
  </w:footnote>
  <w:footnote w:id="6">
    <w:p w14:paraId="03453936" w14:textId="3BD598A5" w:rsidR="00602714" w:rsidRPr="00621ABA" w:rsidRDefault="00602714" w:rsidP="00E64E50">
      <w:pPr>
        <w:pStyle w:val="fussnoteschattenbericht"/>
      </w:pPr>
      <w:r w:rsidRPr="00047A08">
        <w:rPr>
          <w:rStyle w:val="FootnoteSymbol"/>
        </w:rPr>
        <w:footnoteRef/>
      </w:r>
      <w:r w:rsidRPr="00047A08">
        <w:rPr>
          <w:rStyle w:val="FootnoteSymbol"/>
        </w:rPr>
        <w:t xml:space="preserve"> </w:t>
      </w:r>
      <w:r>
        <w:tab/>
      </w:r>
      <w:hyperlink r:id="rId7" w:history="1">
        <w:r w:rsidRPr="00554A74">
          <w:rPr>
            <w:rStyle w:val="Hyperlink"/>
          </w:rPr>
          <w:t>http://intersex.shadowreport.org/public/2015-CAT-Austria-VIMOE-Zwischengeschlecht-Intersex-IGM.pdf</w:t>
        </w:r>
      </w:hyperlink>
      <w:r w:rsidRPr="00554A74">
        <w:t xml:space="preserve"> </w:t>
      </w:r>
    </w:p>
  </w:footnote>
  <w:footnote w:id="7">
    <w:p w14:paraId="654B108F" w14:textId="77777777" w:rsidR="00602714" w:rsidRPr="005B1858" w:rsidRDefault="00602714" w:rsidP="00E64E50">
      <w:pPr>
        <w:pStyle w:val="fussnoteschattenbericht"/>
      </w:pPr>
      <w:r w:rsidRPr="008864FD">
        <w:rPr>
          <w:rStyle w:val="FootnoteReference"/>
          <w:vertAlign w:val="baseline"/>
        </w:rPr>
        <w:footnoteRef/>
      </w:r>
      <w:r w:rsidRPr="008864FD">
        <w:rPr>
          <w:rStyle w:val="FootnoteReference"/>
          <w:vertAlign w:val="baseline"/>
        </w:rPr>
        <w:t xml:space="preserve"> </w:t>
      </w:r>
      <w:r>
        <w:tab/>
        <w:t xml:space="preserve">See </w:t>
      </w:r>
      <w:hyperlink r:id="rId8" w:history="1">
        <w:r w:rsidRPr="003E5450">
          <w:rPr>
            <w:rStyle w:val="Hyperlink"/>
            <w:lang w:val="en-US"/>
          </w:rPr>
          <w:t>http://stop.genitalmutilation.org/post/IAD-2016-Soon-20-UN-Reprimands-for-Intersex-Genital-Mutilations</w:t>
        </w:r>
      </w:hyperlink>
      <w:r>
        <w:t xml:space="preserve"> </w:t>
      </w:r>
    </w:p>
  </w:footnote>
  <w:footnote w:id="8">
    <w:p w14:paraId="2DF7D3EC" w14:textId="77777777" w:rsidR="00602714" w:rsidRDefault="00602714" w:rsidP="00E64E50">
      <w:pPr>
        <w:pStyle w:val="fussnoteschattenbericht"/>
      </w:pPr>
      <w:r w:rsidRPr="00F73061">
        <w:rPr>
          <w:rStyle w:val="Funotenzeichen1"/>
          <w:vertAlign w:val="baseline"/>
        </w:rPr>
        <w:footnoteRef/>
      </w:r>
      <w:r>
        <w:rPr>
          <w:sz w:val="22"/>
          <w:szCs w:val="22"/>
        </w:rPr>
        <w:tab/>
      </w:r>
      <w:r w:rsidRPr="002D16E5">
        <w:t>For a more extensive version, see 2016 CRC UK Thematic NGO Report, p. 55–56, http://intersex.shadowreport.org/public/2016-CRC-UK-NGO-Zwischengeschlecht-Intersex-IGM_v2.pdf</w:t>
      </w:r>
      <w:r>
        <w:rPr>
          <w:sz w:val="22"/>
          <w:szCs w:val="22"/>
        </w:rPr>
        <w:t xml:space="preserve">  </w:t>
      </w:r>
    </w:p>
  </w:footnote>
  <w:footnote w:id="9">
    <w:p w14:paraId="1789DDFA" w14:textId="77777777" w:rsidR="00602714" w:rsidRDefault="00602714" w:rsidP="00E64E50">
      <w:pPr>
        <w:pStyle w:val="fussnoteschattenbericht"/>
      </w:pPr>
      <w:r w:rsidRPr="00F73061">
        <w:rPr>
          <w:rStyle w:val="Funotenzeichen1"/>
          <w:vertAlign w:val="baseline"/>
        </w:rPr>
        <w:footnoteRef/>
      </w:r>
      <w:r>
        <w:rPr>
          <w:sz w:val="22"/>
          <w:szCs w:val="22"/>
        </w:rPr>
        <w:tab/>
      </w:r>
      <w:r w:rsidRPr="002D16E5">
        <w:t>UNICEF (2007), Implementation Handbook for the Convention on the Rights of the Child, at 371</w:t>
      </w:r>
    </w:p>
  </w:footnote>
  <w:footnote w:id="10">
    <w:p w14:paraId="1F15801C" w14:textId="77777777" w:rsidR="00602714" w:rsidRDefault="00602714" w:rsidP="00E64E50">
      <w:pPr>
        <w:pStyle w:val="fussnoteschattenbericht"/>
      </w:pPr>
      <w:r w:rsidRPr="00F73061">
        <w:rPr>
          <w:rStyle w:val="Funotenzeichen1"/>
          <w:vertAlign w:val="baseline"/>
        </w:rPr>
        <w:footnoteRef/>
      </w:r>
      <w:r>
        <w:rPr>
          <w:sz w:val="22"/>
          <w:szCs w:val="22"/>
        </w:rPr>
        <w:tab/>
      </w:r>
      <w:r w:rsidRPr="002D16E5">
        <w:t>CRC/C/CHE/CO/2-4, paras 42-43; CRC/C/IRL/CO/3-4, paras 39-40; CRC/C/FRA/CO/5, paras 47-48; CRC/C/CHL/CO/4-5, paras 48–49; CRC/C/GBR/CO/5, paras 45–46; CRC/C/NPL/CO/3-5, paras 41–42; CRC/C/ZAF/CO/2, paras 39–40; CRC/C/NZL/CO/5, paras 25 + 15; CRC/C/DNK/CO/5, para 24</w:t>
      </w:r>
    </w:p>
  </w:footnote>
  <w:footnote w:id="11">
    <w:p w14:paraId="16E0862B" w14:textId="77777777" w:rsidR="00602714" w:rsidRDefault="00602714" w:rsidP="00E64E50">
      <w:pPr>
        <w:pStyle w:val="fussnoteschattenbericht"/>
      </w:pPr>
      <w:r w:rsidRPr="00F73061">
        <w:rPr>
          <w:rStyle w:val="Funotenzeichen1"/>
          <w:vertAlign w:val="baseline"/>
        </w:rPr>
        <w:footnoteRef/>
      </w:r>
      <w:r>
        <w:rPr>
          <w:sz w:val="22"/>
          <w:szCs w:val="22"/>
        </w:rPr>
        <w:tab/>
      </w:r>
      <w:r w:rsidRPr="002D16E5">
        <w:t xml:space="preserve">Daniela Truffer, Markus Bauer / Zwischengeschlecht.org: “Ending the Impunity of the Perpetrators!” Input for Session 3: “Human Rights Standards and Intersex People – Progress and Challenges - Part 2” at “Ending Human Rights Violations Against Intersex Persons.” OHCHR Expert Meeting, Geneva 16–17.09.2015, online: </w:t>
      </w:r>
      <w:hyperlink r:id="rId9" w:history="1">
        <w:r w:rsidRPr="00F30047">
          <w:rPr>
            <w:rStyle w:val="Hyperlink"/>
          </w:rPr>
          <w:t>http://StopIGM.org/public/S3_Zwischengeschlecht_UN-Expert-Meeting-2015_web.pdf</w:t>
        </w:r>
      </w:hyperlink>
      <w:r>
        <w:t xml:space="preserve"> </w:t>
      </w:r>
    </w:p>
  </w:footnote>
  <w:footnote w:id="12">
    <w:p w14:paraId="3E87EAD9" w14:textId="77777777" w:rsidR="00602714" w:rsidRPr="00F80470" w:rsidRDefault="00602714" w:rsidP="00E64E50">
      <w:pPr>
        <w:pStyle w:val="fussnoteschattenbericht"/>
      </w:pPr>
      <w:r w:rsidRPr="00D016ED">
        <w:rPr>
          <w:rStyle w:val="Funotenzeichen1"/>
          <w:rFonts w:cs="Times New Roman"/>
          <w:vertAlign w:val="baseline"/>
        </w:rPr>
        <w:footnoteRef/>
      </w:r>
      <w:r w:rsidRPr="00D016ED">
        <w:tab/>
        <w:t>CAT/C/FRA/CO/7, paras 32–33; CAT/C/CHE/CO/7, para 20; CAT/C/DEU/CO/5; para 20; CAT/C/AUT/CO/6, paras 44–45; CAT/C/CHN-HKG/CO/5, paras 28–29; CAT/C/DNK/CO/6-7, paras 42–43; CAT/C/NLD/CO/7, paras 52-53; CAT/C/GBR/CO/6, paras 64-65</w:t>
      </w:r>
    </w:p>
  </w:footnote>
  <w:footnote w:id="13">
    <w:p w14:paraId="7F496EC1" w14:textId="77777777" w:rsidR="00602714" w:rsidRPr="00C74047" w:rsidRDefault="00602714" w:rsidP="00E64E50">
      <w:pPr>
        <w:pStyle w:val="fussnoteschattenbericht"/>
      </w:pPr>
      <w:r w:rsidRPr="00F73061">
        <w:rPr>
          <w:rStyle w:val="Funotenzeichen1"/>
          <w:vertAlign w:val="baseline"/>
        </w:rPr>
        <w:footnoteRef/>
      </w:r>
      <w:r w:rsidRPr="00C74047">
        <w:rPr>
          <w:sz w:val="22"/>
          <w:szCs w:val="22"/>
        </w:rPr>
        <w:tab/>
      </w:r>
      <w:r w:rsidRPr="00C74047">
        <w:t xml:space="preserve">CEDAW/C/DEU/CO/7-8, </w:t>
      </w:r>
      <w:r w:rsidRPr="004F00EB">
        <w:t>paras</w:t>
      </w:r>
      <w:r w:rsidRPr="00C74047">
        <w:t xml:space="preserve"> 24(d)</w:t>
      </w:r>
    </w:p>
  </w:footnote>
  <w:footnote w:id="14">
    <w:p w14:paraId="3F2ADFD8" w14:textId="77777777" w:rsidR="00602714" w:rsidRPr="00C74047" w:rsidRDefault="00602714" w:rsidP="00E64E50">
      <w:pPr>
        <w:pStyle w:val="fussnoteschattenbericht"/>
      </w:pPr>
      <w:r w:rsidRPr="00F73061">
        <w:rPr>
          <w:rStyle w:val="Funotenzeichen1"/>
          <w:vertAlign w:val="baseline"/>
        </w:rPr>
        <w:footnoteRef/>
      </w:r>
      <w:r w:rsidRPr="00C74047">
        <w:rPr>
          <w:sz w:val="22"/>
          <w:szCs w:val="22"/>
        </w:rPr>
        <w:tab/>
      </w:r>
      <w:r w:rsidRPr="00C74047">
        <w:t>CEDAW/C/LUX/CO/6-7, para 28(c)</w:t>
      </w:r>
    </w:p>
  </w:footnote>
  <w:footnote w:id="15">
    <w:p w14:paraId="6ADA3383" w14:textId="77777777" w:rsidR="00602714" w:rsidRDefault="00602714" w:rsidP="00E64E50">
      <w:pPr>
        <w:pStyle w:val="fussnoteschattenbericht"/>
      </w:pPr>
      <w:r w:rsidRPr="00F73061">
        <w:rPr>
          <w:rStyle w:val="Funotenzeichen1"/>
          <w:vertAlign w:val="baseline"/>
        </w:rPr>
        <w:footnoteRef/>
      </w:r>
      <w:r>
        <w:rPr>
          <w:sz w:val="22"/>
          <w:szCs w:val="22"/>
        </w:rPr>
        <w:tab/>
      </w:r>
      <w:r w:rsidRPr="002D16E5">
        <w:t xml:space="preserve">Globally, no survivor of early surgeries </w:t>
      </w:r>
      <w:r w:rsidRPr="00D423BD">
        <w:rPr>
          <w:b/>
          <w:bCs/>
        </w:rPr>
        <w:t>ever</w:t>
      </w:r>
      <w:r w:rsidRPr="002D16E5">
        <w:t xml:space="preserve"> managed to have their case heard in court. All relevant court cases (3 in Germany, 1 in the USA) were either about surgery of adults, or initiated by foster parents.</w:t>
      </w:r>
    </w:p>
  </w:footnote>
  <w:footnote w:id="16">
    <w:p w14:paraId="49D4FFA6" w14:textId="5227534A" w:rsidR="00602714" w:rsidRPr="00DE5118" w:rsidRDefault="00602714" w:rsidP="00E64E50">
      <w:pPr>
        <w:pStyle w:val="fussnoteschattenbericht"/>
      </w:pPr>
      <w:r w:rsidRPr="001B2222">
        <w:rPr>
          <w:rStyle w:val="FootnoteReference"/>
          <w:vertAlign w:val="baseline"/>
        </w:rPr>
        <w:footnoteRef/>
      </w:r>
      <w:r w:rsidRPr="00DE5118">
        <w:t xml:space="preserve"> </w:t>
      </w:r>
      <w:r w:rsidRPr="00DE5118">
        <w:tab/>
        <w:t xml:space="preserve">See our PSWG NGO Report, p. 8-9. </w:t>
      </w:r>
    </w:p>
  </w:footnote>
  <w:footnote w:id="17">
    <w:p w14:paraId="3DC6DC10" w14:textId="27724215" w:rsidR="00602714" w:rsidRPr="00DE5118" w:rsidRDefault="00602714" w:rsidP="00E64E50">
      <w:pPr>
        <w:pStyle w:val="fussnoteschattenbericht"/>
      </w:pPr>
      <w:r w:rsidRPr="00F83C61">
        <w:rPr>
          <w:rStyle w:val="FootnoteReference"/>
          <w:vertAlign w:val="baseline"/>
        </w:rPr>
        <w:footnoteRef/>
      </w:r>
      <w:r w:rsidRPr="00DE5118">
        <w:t xml:space="preserve"> </w:t>
      </w:r>
      <w:r w:rsidRPr="00DE5118">
        <w:tab/>
        <w:t xml:space="preserve">See p. 1, </w:t>
      </w:r>
      <w:hyperlink r:id="rId10" w:history="1">
        <w:r w:rsidRPr="00DE5118">
          <w:rPr>
            <w:rStyle w:val="Hyperlink"/>
            <w:sz w:val="18"/>
            <w:szCs w:val="18"/>
            <w:lang w:val="en-US"/>
          </w:rPr>
          <w:t>http://intersex.shadowreport.org/public/CEDAW73-PSWG-Austria-Written-Answers-NGO-StopIGM_web.pdf</w:t>
        </w:r>
      </w:hyperlink>
      <w:r w:rsidRPr="00DE5118">
        <w:t xml:space="preserve"> </w:t>
      </w:r>
    </w:p>
  </w:footnote>
  <w:footnote w:id="18">
    <w:p w14:paraId="2A70CECF" w14:textId="5F79F1D5" w:rsidR="00602714" w:rsidRPr="00DE5118" w:rsidRDefault="00602714" w:rsidP="00E64E50">
      <w:pPr>
        <w:pStyle w:val="fussnoteschattenbericht"/>
      </w:pPr>
      <w:r w:rsidRPr="00F83C61">
        <w:rPr>
          <w:rStyle w:val="FootnoteReference"/>
          <w:vertAlign w:val="baseline"/>
        </w:rPr>
        <w:footnoteRef/>
      </w:r>
      <w:r w:rsidRPr="00DE5118">
        <w:t xml:space="preserve"> </w:t>
      </w:r>
      <w:r w:rsidRPr="00DE5118">
        <w:tab/>
        <w:t xml:space="preserve">See p. 1, </w:t>
      </w:r>
      <w:hyperlink r:id="rId11" w:history="1">
        <w:r w:rsidRPr="00DE5118">
          <w:rPr>
            <w:rStyle w:val="Hyperlink"/>
            <w:sz w:val="19"/>
            <w:szCs w:val="19"/>
            <w:lang w:val="en-US"/>
          </w:rPr>
          <w:t>http://intersex.shadowreport.org/public/CEDAW73-Austria-Intersex-NGO-Statement-Daniela-Truffer.pdf</w:t>
        </w:r>
      </w:hyperlink>
      <w:r w:rsidRPr="00DE5118">
        <w:rPr>
          <w:sz w:val="18"/>
          <w:szCs w:val="18"/>
        </w:rPr>
        <w:t xml:space="preserve"> </w:t>
      </w:r>
    </w:p>
  </w:footnote>
  <w:footnote w:id="19">
    <w:p w14:paraId="22F8694B" w14:textId="77777777" w:rsidR="00602714" w:rsidRDefault="00602714" w:rsidP="00E64E50">
      <w:pPr>
        <w:pStyle w:val="fussnoteschattenbericht"/>
      </w:pPr>
      <w:r w:rsidRPr="00D0235F">
        <w:rPr>
          <w:rFonts w:eastAsia="MS Gothic"/>
        </w:rPr>
        <w:footnoteRef/>
      </w:r>
      <w:r>
        <w:t xml:space="preserve"> </w:t>
      </w:r>
      <w:r>
        <w:tab/>
      </w:r>
      <w:r w:rsidRPr="00A024AA">
        <w:t xml:space="preserve">Verfassungsgerichtshof Österreich (VFGH), 15.06.2018, Az G 77/2018-9, Rz 16, </w:t>
      </w:r>
      <w:hyperlink r:id="rId12" w:history="1">
        <w:r w:rsidRPr="00220154">
          <w:rPr>
            <w:rStyle w:val="Hyperlink"/>
            <w:lang w:val="de-LU"/>
          </w:rPr>
          <w:t>https://www.vfgh.gv.at/downloads/VfGH_Entscheidung_G_77-2018_unbestimmtes_Geschlecht_anonym.pdf</w:t>
        </w:r>
      </w:hyperlink>
      <w:r>
        <w:t xml:space="preserve"> </w:t>
      </w:r>
    </w:p>
  </w:footnote>
  <w:footnote w:id="20">
    <w:p w14:paraId="7D7551F3" w14:textId="687C4DC0" w:rsidR="00602714" w:rsidRPr="00DE5118" w:rsidRDefault="00602714" w:rsidP="00E64E50">
      <w:pPr>
        <w:pStyle w:val="fussnoteschattenbericht"/>
      </w:pPr>
      <w:r w:rsidRPr="00F83C61">
        <w:rPr>
          <w:rStyle w:val="FootnoteReference"/>
          <w:vertAlign w:val="baseline"/>
        </w:rPr>
        <w:footnoteRef/>
      </w:r>
      <w:r w:rsidRPr="00DE5118">
        <w:t xml:space="preserve"> </w:t>
      </w:r>
      <w:r w:rsidRPr="00DE5118">
        <w:tab/>
        <w:t xml:space="preserve">See p. 2, </w:t>
      </w:r>
      <w:hyperlink r:id="rId13" w:history="1">
        <w:r w:rsidRPr="00DE5118">
          <w:rPr>
            <w:rStyle w:val="Hyperlink"/>
            <w:sz w:val="19"/>
            <w:szCs w:val="19"/>
            <w:lang w:val="en-US"/>
          </w:rPr>
          <w:t>http://intersex.shadowreport.org/public/CEDAW73-Austria-Intersex-NGO-Statement-Daniela-Truffer.pdf</w:t>
        </w:r>
      </w:hyperlink>
      <w:r w:rsidRPr="00DE5118">
        <w:rPr>
          <w:sz w:val="18"/>
          <w:szCs w:val="18"/>
        </w:rPr>
        <w:t xml:space="preserve"> </w:t>
      </w:r>
    </w:p>
  </w:footnote>
  <w:footnote w:id="21">
    <w:p w14:paraId="23EB2265" w14:textId="77777777" w:rsidR="00602714" w:rsidRDefault="00602714" w:rsidP="00E64E50">
      <w:pPr>
        <w:pStyle w:val="fussnoteschattenbericht"/>
      </w:pPr>
      <w:r w:rsidRPr="00F83C61">
        <w:rPr>
          <w:rStyle w:val="FootnoteReference"/>
          <w:vertAlign w:val="baseline"/>
        </w:rPr>
        <w:footnoteRef/>
      </w:r>
      <w:r w:rsidRPr="00F83C61">
        <w:t xml:space="preserve"> </w:t>
      </w:r>
      <w:r w:rsidRPr="00F83C61">
        <w:tab/>
      </w:r>
      <w:r>
        <w:t xml:space="preserve">See p. 1, </w:t>
      </w:r>
      <w:hyperlink r:id="rId14" w:history="1">
        <w:r w:rsidRPr="006C0DB8">
          <w:rPr>
            <w:rStyle w:val="Hyperlink"/>
            <w:sz w:val="18"/>
            <w:szCs w:val="18"/>
          </w:rPr>
          <w:t>http://intersex.shadowreport.org/public/CEDAW73-PSWG-Austria-Written-Answers-NGO-StopIGM_web.pdf</w:t>
        </w:r>
      </w:hyperlink>
      <w:r>
        <w:t xml:space="preserve"> </w:t>
      </w:r>
    </w:p>
  </w:footnote>
  <w:footnote w:id="22">
    <w:p w14:paraId="3AB2C2E3" w14:textId="6D175710" w:rsidR="00602714" w:rsidRPr="00DE5118" w:rsidRDefault="00602714" w:rsidP="00E64E50">
      <w:pPr>
        <w:pStyle w:val="fussnoteschattenbericht"/>
      </w:pPr>
      <w:r w:rsidRPr="00A674A2">
        <w:rPr>
          <w:rStyle w:val="FootnoteReference"/>
          <w:vertAlign w:val="baseline"/>
        </w:rPr>
        <w:footnoteRef/>
      </w:r>
      <w:r w:rsidRPr="00DE5118">
        <w:t xml:space="preserve"> </w:t>
      </w:r>
      <w:r w:rsidRPr="00DE5118">
        <w:tab/>
        <w:t>Ibid., p. 1-2.</w:t>
      </w:r>
    </w:p>
  </w:footnote>
  <w:footnote w:id="23">
    <w:p w14:paraId="03D05CE0" w14:textId="77777777" w:rsidR="00602714" w:rsidRPr="00DE5118" w:rsidRDefault="00602714" w:rsidP="00E64E50">
      <w:pPr>
        <w:pStyle w:val="fussnoteschattenbericht"/>
      </w:pPr>
      <w:r w:rsidRPr="003F7A72">
        <w:rPr>
          <w:rStyle w:val="FootnoteReference"/>
          <w:vertAlign w:val="baseline"/>
        </w:rPr>
        <w:footnoteRef/>
      </w:r>
      <w:r w:rsidRPr="00DE5118">
        <w:t xml:space="preserve"> </w:t>
      </w:r>
      <w:r w:rsidRPr="00DE5118">
        <w:tab/>
        <w:t xml:space="preserve">Steve Crilley (2017), Being Intersex in Austria, Interview with Platform Intersex Austria spokesperson and jurist Eva Matt, Radio FM4, 04.11.2017, </w:t>
      </w:r>
      <w:hyperlink r:id="rId15" w:history="1">
        <w:r w:rsidRPr="00537CEB">
          <w:rPr>
            <w:rStyle w:val="Hyperlink"/>
            <w:lang w:val="en-US"/>
          </w:rPr>
          <w:t>https://fm4.orf.at/stories/2875989/</w:t>
        </w:r>
      </w:hyperlink>
      <w:r w:rsidRPr="00DE5118">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EF69C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709"/>
        </w:tabs>
        <w:ind w:left="1141" w:hanging="432"/>
      </w:pPr>
    </w:lvl>
    <w:lvl w:ilvl="1">
      <w:start w:val="1"/>
      <w:numFmt w:val="none"/>
      <w:suff w:val="nothing"/>
      <w:lvlText w:val=""/>
      <w:lvlJc w:val="left"/>
      <w:pPr>
        <w:tabs>
          <w:tab w:val="num" w:pos="709"/>
        </w:tabs>
        <w:ind w:left="1285" w:hanging="576"/>
      </w:pPr>
    </w:lvl>
    <w:lvl w:ilvl="2">
      <w:start w:val="1"/>
      <w:numFmt w:val="none"/>
      <w:suff w:val="nothing"/>
      <w:lvlText w:val=""/>
      <w:lvlJc w:val="left"/>
      <w:pPr>
        <w:tabs>
          <w:tab w:val="num" w:pos="709"/>
        </w:tabs>
        <w:ind w:left="1429" w:hanging="720"/>
      </w:pPr>
    </w:lvl>
    <w:lvl w:ilvl="3">
      <w:start w:val="1"/>
      <w:numFmt w:val="none"/>
      <w:suff w:val="nothing"/>
      <w:lvlText w:val=""/>
      <w:lvlJc w:val="left"/>
      <w:pPr>
        <w:tabs>
          <w:tab w:val="num" w:pos="709"/>
        </w:tabs>
        <w:ind w:left="1573" w:hanging="864"/>
      </w:pPr>
    </w:lvl>
    <w:lvl w:ilvl="4">
      <w:start w:val="1"/>
      <w:numFmt w:val="none"/>
      <w:suff w:val="nothing"/>
      <w:lvlText w:val=""/>
      <w:lvlJc w:val="left"/>
      <w:pPr>
        <w:tabs>
          <w:tab w:val="num" w:pos="709"/>
        </w:tabs>
        <w:ind w:left="1717" w:hanging="1008"/>
      </w:pPr>
    </w:lvl>
    <w:lvl w:ilvl="5">
      <w:start w:val="1"/>
      <w:numFmt w:val="none"/>
      <w:suff w:val="nothing"/>
      <w:lvlText w:val=""/>
      <w:lvlJc w:val="left"/>
      <w:pPr>
        <w:tabs>
          <w:tab w:val="num" w:pos="709"/>
        </w:tabs>
        <w:ind w:left="1861" w:hanging="1152"/>
      </w:pPr>
    </w:lvl>
    <w:lvl w:ilvl="6">
      <w:start w:val="1"/>
      <w:numFmt w:val="none"/>
      <w:suff w:val="nothing"/>
      <w:lvlText w:val=""/>
      <w:lvlJc w:val="left"/>
      <w:pPr>
        <w:tabs>
          <w:tab w:val="num" w:pos="709"/>
        </w:tabs>
        <w:ind w:left="2005" w:hanging="1296"/>
      </w:pPr>
    </w:lvl>
    <w:lvl w:ilvl="7">
      <w:start w:val="1"/>
      <w:numFmt w:val="none"/>
      <w:suff w:val="nothing"/>
      <w:lvlText w:val=""/>
      <w:lvlJc w:val="left"/>
      <w:pPr>
        <w:tabs>
          <w:tab w:val="num" w:pos="709"/>
        </w:tabs>
        <w:ind w:left="2149" w:hanging="1440"/>
      </w:pPr>
    </w:lvl>
    <w:lvl w:ilvl="8">
      <w:start w:val="1"/>
      <w:numFmt w:val="none"/>
      <w:suff w:val="nothing"/>
      <w:lvlText w:val=""/>
      <w:lvlJc w:val="left"/>
      <w:pPr>
        <w:tabs>
          <w:tab w:val="num" w:pos="709"/>
        </w:tabs>
        <w:ind w:left="2293" w:hanging="1584"/>
      </w:pPr>
    </w:lvl>
  </w:abstractNum>
  <w:abstractNum w:abstractNumId="2" w15:restartNumberingAfterBreak="0">
    <w:nsid w:val="00000002"/>
    <w:multiLevelType w:val="multilevel"/>
    <w:tmpl w:val="00000002"/>
    <w:name w:val="WW8Num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Symbol" w:hAnsi="Symbol" w:cs="Symbol" w:hint="default"/>
        <w:color w:val="000000"/>
        <w:spacing w:val="2"/>
        <w:lang w:val="en-GB"/>
      </w:rPr>
    </w:lvl>
  </w:abstractNum>
  <w:abstractNum w:abstractNumId="4" w15:restartNumberingAfterBreak="0">
    <w:nsid w:val="00000004"/>
    <w:multiLevelType w:val="singleLevel"/>
    <w:tmpl w:val="00000004"/>
    <w:name w:val="WW8Num3"/>
    <w:lvl w:ilvl="0">
      <w:start w:val="1"/>
      <w:numFmt w:val="bullet"/>
      <w:lvlText w:val=""/>
      <w:lvlJc w:val="left"/>
      <w:pPr>
        <w:tabs>
          <w:tab w:val="num" w:pos="0"/>
        </w:tabs>
        <w:ind w:left="720" w:hanging="360"/>
      </w:pPr>
      <w:rPr>
        <w:rFonts w:ascii="Symbol" w:hAnsi="Symbol" w:cs="Symbol" w:hint="default"/>
        <w:color w:val="000000"/>
        <w:spacing w:val="2"/>
        <w:lang w:val="en-GB"/>
      </w:rPr>
    </w:lvl>
  </w:abstractNum>
  <w:abstractNum w:abstractNumId="5" w15:restartNumberingAfterBreak="0">
    <w:nsid w:val="00000005"/>
    <w:multiLevelType w:val="singleLevel"/>
    <w:tmpl w:val="00000005"/>
    <w:name w:val="WW8Num4"/>
    <w:lvl w:ilvl="0">
      <w:start w:val="1"/>
      <w:numFmt w:val="bullet"/>
      <w:lvlText w:val=""/>
      <w:lvlJc w:val="left"/>
      <w:pPr>
        <w:tabs>
          <w:tab w:val="num" w:pos="0"/>
        </w:tabs>
        <w:ind w:left="720" w:hanging="360"/>
      </w:pPr>
      <w:rPr>
        <w:rFonts w:ascii="Symbol" w:hAnsi="Symbol" w:cs="Symbol" w:hint="default"/>
        <w:color w:val="000000"/>
        <w:spacing w:val="2"/>
        <w:lang w:val="en-GB"/>
      </w:rPr>
    </w:lvl>
  </w:abstractNum>
  <w:abstractNum w:abstractNumId="6" w15:restartNumberingAfterBreak="0">
    <w:nsid w:val="00000006"/>
    <w:multiLevelType w:val="singleLevel"/>
    <w:tmpl w:val="00000006"/>
    <w:name w:val="WW8Num5"/>
    <w:lvl w:ilvl="0">
      <w:start w:val="1"/>
      <w:numFmt w:val="bullet"/>
      <w:lvlText w:val=""/>
      <w:lvlJc w:val="left"/>
      <w:pPr>
        <w:tabs>
          <w:tab w:val="num" w:pos="0"/>
        </w:tabs>
        <w:ind w:left="720" w:hanging="360"/>
      </w:pPr>
      <w:rPr>
        <w:rFonts w:ascii="Symbol" w:hAnsi="Symbol" w:cs="Symbol" w:hint="default"/>
        <w:color w:val="000000"/>
        <w:spacing w:val="2"/>
        <w:lang w:val="en-GB"/>
      </w:rPr>
    </w:lvl>
  </w:abstractNum>
  <w:abstractNum w:abstractNumId="7" w15:restartNumberingAfterBreak="0">
    <w:nsid w:val="00000007"/>
    <w:multiLevelType w:val="singleLevel"/>
    <w:tmpl w:val="00000007"/>
    <w:name w:val="WW8Num6"/>
    <w:lvl w:ilvl="0">
      <w:start w:val="1"/>
      <w:numFmt w:val="bullet"/>
      <w:lvlText w:val=""/>
      <w:lvlJc w:val="left"/>
      <w:pPr>
        <w:tabs>
          <w:tab w:val="num" w:pos="0"/>
        </w:tabs>
        <w:ind w:left="720" w:hanging="360"/>
      </w:pPr>
      <w:rPr>
        <w:rFonts w:ascii="Symbol" w:hAnsi="Symbol" w:cs="Symbol" w:hint="default"/>
        <w:color w:val="000000"/>
        <w:spacing w:val="2"/>
        <w:lang w:val="en-GB"/>
      </w:rPr>
    </w:lvl>
  </w:abstractNum>
  <w:abstractNum w:abstractNumId="8" w15:restartNumberingAfterBreak="0">
    <w:nsid w:val="00000008"/>
    <w:multiLevelType w:val="singleLevel"/>
    <w:tmpl w:val="00000008"/>
    <w:name w:val="WW8Num7"/>
    <w:lvl w:ilvl="0">
      <w:start w:val="1"/>
      <w:numFmt w:val="bullet"/>
      <w:lvlText w:val=""/>
      <w:lvlJc w:val="left"/>
      <w:pPr>
        <w:tabs>
          <w:tab w:val="num" w:pos="0"/>
        </w:tabs>
        <w:ind w:left="720" w:hanging="360"/>
      </w:pPr>
      <w:rPr>
        <w:rFonts w:ascii="Symbol" w:hAnsi="Symbol" w:cs="Symbol" w:hint="default"/>
      </w:rPr>
    </w:lvl>
  </w:abstractNum>
  <w:abstractNum w:abstractNumId="9" w15:restartNumberingAfterBreak="0">
    <w:nsid w:val="00000009"/>
    <w:multiLevelType w:val="singleLevel"/>
    <w:tmpl w:val="00000009"/>
    <w:name w:val="WW8Num8"/>
    <w:lvl w:ilvl="0">
      <w:start w:val="1"/>
      <w:numFmt w:val="bullet"/>
      <w:lvlText w:val=""/>
      <w:lvlJc w:val="left"/>
      <w:pPr>
        <w:tabs>
          <w:tab w:val="num" w:pos="0"/>
        </w:tabs>
        <w:ind w:left="720" w:hanging="360"/>
      </w:pPr>
      <w:rPr>
        <w:rFonts w:ascii="Symbol" w:hAnsi="Symbol" w:cs="Symbol" w:hint="default"/>
      </w:rPr>
    </w:lvl>
  </w:abstractNum>
  <w:abstractNum w:abstractNumId="10" w15:restartNumberingAfterBreak="0">
    <w:nsid w:val="0000000A"/>
    <w:multiLevelType w:val="singleLevel"/>
    <w:tmpl w:val="0000000A"/>
    <w:name w:val="WW8Num9"/>
    <w:lvl w:ilvl="0">
      <w:start w:val="1"/>
      <w:numFmt w:val="bullet"/>
      <w:lvlText w:val=""/>
      <w:lvlJc w:val="left"/>
      <w:pPr>
        <w:tabs>
          <w:tab w:val="num" w:pos="0"/>
        </w:tabs>
        <w:ind w:left="720" w:hanging="360"/>
      </w:pPr>
      <w:rPr>
        <w:rFonts w:ascii="Symbol" w:hAnsi="Symbol" w:cs="Symbol" w:hint="default"/>
        <w:sz w:val="24"/>
        <w:szCs w:val="24"/>
      </w:rPr>
    </w:lvl>
  </w:abstractNum>
  <w:abstractNum w:abstractNumId="11"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sz w:val="24"/>
        <w:szCs w:val="24"/>
      </w:rPr>
    </w:lvl>
  </w:abstractNum>
  <w:abstractNum w:abstractNumId="12"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color w:val="000000"/>
        <w:spacing w:val="2"/>
        <w:lang w:val="en-GB"/>
      </w:rPr>
    </w:lvl>
  </w:abstractNum>
  <w:abstractNum w:abstractNumId="13"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color w:val="000000"/>
        <w:spacing w:val="2"/>
        <w:lang w:val="en-GB"/>
      </w:rPr>
    </w:lvl>
  </w:abstractNum>
  <w:abstractNum w:abstractNumId="14" w15:restartNumberingAfterBreak="0">
    <w:nsid w:val="0A94728B"/>
    <w:multiLevelType w:val="hybridMultilevel"/>
    <w:tmpl w:val="9968B9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DCD3281"/>
    <w:multiLevelType w:val="hybridMultilevel"/>
    <w:tmpl w:val="721034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1594069"/>
    <w:multiLevelType w:val="hybridMultilevel"/>
    <w:tmpl w:val="9C38A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4EF3F4B"/>
    <w:multiLevelType w:val="hybridMultilevel"/>
    <w:tmpl w:val="BCCA0CE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E61690C"/>
    <w:multiLevelType w:val="hybridMultilevel"/>
    <w:tmpl w:val="837A3D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0A312AF"/>
    <w:multiLevelType w:val="hybridMultilevel"/>
    <w:tmpl w:val="FF18E2F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5390544"/>
    <w:multiLevelType w:val="hybridMultilevel"/>
    <w:tmpl w:val="56C2EACA"/>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4E8A4B68"/>
    <w:multiLevelType w:val="hybridMultilevel"/>
    <w:tmpl w:val="42C4B6D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904475D"/>
    <w:multiLevelType w:val="hybridMultilevel"/>
    <w:tmpl w:val="DCECEA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1D73158"/>
    <w:multiLevelType w:val="hybridMultilevel"/>
    <w:tmpl w:val="54825AA0"/>
    <w:lvl w:ilvl="0" w:tplc="999EE48E">
      <w:start w:val="1"/>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4" w15:restartNumberingAfterBreak="0">
    <w:nsid w:val="6C5D7DCB"/>
    <w:multiLevelType w:val="hybridMultilevel"/>
    <w:tmpl w:val="03DA0016"/>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75F74799"/>
    <w:multiLevelType w:val="hybridMultilevel"/>
    <w:tmpl w:val="133E8D1A"/>
    <w:lvl w:ilvl="0" w:tplc="08070001">
      <w:start w:val="1"/>
      <w:numFmt w:val="bullet"/>
      <w:lvlText w:val=""/>
      <w:lvlJc w:val="left"/>
      <w:pPr>
        <w:ind w:left="788" w:hanging="360"/>
      </w:pPr>
      <w:rPr>
        <w:rFonts w:ascii="Symbol" w:hAnsi="Symbol" w:hint="default"/>
      </w:rPr>
    </w:lvl>
    <w:lvl w:ilvl="1" w:tplc="08070003" w:tentative="1">
      <w:start w:val="1"/>
      <w:numFmt w:val="bullet"/>
      <w:lvlText w:val="o"/>
      <w:lvlJc w:val="left"/>
      <w:pPr>
        <w:ind w:left="1508" w:hanging="360"/>
      </w:pPr>
      <w:rPr>
        <w:rFonts w:ascii="Courier New" w:hAnsi="Courier New" w:cs="Courier New" w:hint="default"/>
      </w:rPr>
    </w:lvl>
    <w:lvl w:ilvl="2" w:tplc="08070005" w:tentative="1">
      <w:start w:val="1"/>
      <w:numFmt w:val="bullet"/>
      <w:lvlText w:val=""/>
      <w:lvlJc w:val="left"/>
      <w:pPr>
        <w:ind w:left="2228" w:hanging="360"/>
      </w:pPr>
      <w:rPr>
        <w:rFonts w:ascii="Wingdings" w:hAnsi="Wingdings" w:hint="default"/>
      </w:rPr>
    </w:lvl>
    <w:lvl w:ilvl="3" w:tplc="08070001" w:tentative="1">
      <w:start w:val="1"/>
      <w:numFmt w:val="bullet"/>
      <w:lvlText w:val=""/>
      <w:lvlJc w:val="left"/>
      <w:pPr>
        <w:ind w:left="2948" w:hanging="360"/>
      </w:pPr>
      <w:rPr>
        <w:rFonts w:ascii="Symbol" w:hAnsi="Symbol" w:hint="default"/>
      </w:rPr>
    </w:lvl>
    <w:lvl w:ilvl="4" w:tplc="08070003" w:tentative="1">
      <w:start w:val="1"/>
      <w:numFmt w:val="bullet"/>
      <w:lvlText w:val="o"/>
      <w:lvlJc w:val="left"/>
      <w:pPr>
        <w:ind w:left="3668" w:hanging="360"/>
      </w:pPr>
      <w:rPr>
        <w:rFonts w:ascii="Courier New" w:hAnsi="Courier New" w:cs="Courier New" w:hint="default"/>
      </w:rPr>
    </w:lvl>
    <w:lvl w:ilvl="5" w:tplc="08070005" w:tentative="1">
      <w:start w:val="1"/>
      <w:numFmt w:val="bullet"/>
      <w:lvlText w:val=""/>
      <w:lvlJc w:val="left"/>
      <w:pPr>
        <w:ind w:left="4388" w:hanging="360"/>
      </w:pPr>
      <w:rPr>
        <w:rFonts w:ascii="Wingdings" w:hAnsi="Wingdings" w:hint="default"/>
      </w:rPr>
    </w:lvl>
    <w:lvl w:ilvl="6" w:tplc="08070001" w:tentative="1">
      <w:start w:val="1"/>
      <w:numFmt w:val="bullet"/>
      <w:lvlText w:val=""/>
      <w:lvlJc w:val="left"/>
      <w:pPr>
        <w:ind w:left="5108" w:hanging="360"/>
      </w:pPr>
      <w:rPr>
        <w:rFonts w:ascii="Symbol" w:hAnsi="Symbol" w:hint="default"/>
      </w:rPr>
    </w:lvl>
    <w:lvl w:ilvl="7" w:tplc="08070003" w:tentative="1">
      <w:start w:val="1"/>
      <w:numFmt w:val="bullet"/>
      <w:lvlText w:val="o"/>
      <w:lvlJc w:val="left"/>
      <w:pPr>
        <w:ind w:left="5828" w:hanging="360"/>
      </w:pPr>
      <w:rPr>
        <w:rFonts w:ascii="Courier New" w:hAnsi="Courier New" w:cs="Courier New" w:hint="default"/>
      </w:rPr>
    </w:lvl>
    <w:lvl w:ilvl="8" w:tplc="08070005" w:tentative="1">
      <w:start w:val="1"/>
      <w:numFmt w:val="bullet"/>
      <w:lvlText w:val=""/>
      <w:lvlJc w:val="left"/>
      <w:pPr>
        <w:ind w:left="6548" w:hanging="360"/>
      </w:pPr>
      <w:rPr>
        <w:rFonts w:ascii="Wingdings" w:hAnsi="Wingdings" w:hint="default"/>
      </w:rPr>
    </w:lvl>
  </w:abstractNum>
  <w:abstractNum w:abstractNumId="26" w15:restartNumberingAfterBreak="0">
    <w:nsid w:val="784B2C72"/>
    <w:multiLevelType w:val="hybridMultilevel"/>
    <w:tmpl w:val="7B7478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7A0E309F"/>
    <w:multiLevelType w:val="hybridMultilevel"/>
    <w:tmpl w:val="DC182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21"/>
  </w:num>
  <w:num w:numId="15">
    <w:abstractNumId w:val="25"/>
  </w:num>
  <w:num w:numId="16">
    <w:abstractNumId w:val="20"/>
  </w:num>
  <w:num w:numId="17">
    <w:abstractNumId w:val="24"/>
  </w:num>
  <w:num w:numId="18">
    <w:abstractNumId w:val="18"/>
  </w:num>
  <w:num w:numId="19">
    <w:abstractNumId w:val="19"/>
  </w:num>
  <w:num w:numId="20">
    <w:abstractNumId w:val="0"/>
  </w:num>
  <w:num w:numId="21">
    <w:abstractNumId w:val="26"/>
  </w:num>
  <w:num w:numId="22">
    <w:abstractNumId w:val="16"/>
  </w:num>
  <w:num w:numId="23">
    <w:abstractNumId w:val="17"/>
  </w:num>
  <w:num w:numId="24">
    <w:abstractNumId w:val="22"/>
  </w:num>
  <w:num w:numId="25">
    <w:abstractNumId w:val="14"/>
  </w:num>
  <w:num w:numId="26">
    <w:abstractNumId w:val="15"/>
  </w:num>
  <w:num w:numId="27">
    <w:abstractNumId w:val="27"/>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acDisableGlyphATSUI" w:val="0"/>
  </w:docVars>
  <w:rsids>
    <w:rsidRoot w:val="0044223A"/>
    <w:rsid w:val="000110A9"/>
    <w:rsid w:val="0001184F"/>
    <w:rsid w:val="000127B9"/>
    <w:rsid w:val="000132E5"/>
    <w:rsid w:val="00014DA2"/>
    <w:rsid w:val="00020626"/>
    <w:rsid w:val="00021640"/>
    <w:rsid w:val="00023CDB"/>
    <w:rsid w:val="000241CB"/>
    <w:rsid w:val="00024F70"/>
    <w:rsid w:val="00026A01"/>
    <w:rsid w:val="00031D9E"/>
    <w:rsid w:val="000326B6"/>
    <w:rsid w:val="00045DB5"/>
    <w:rsid w:val="00047A08"/>
    <w:rsid w:val="00047B2D"/>
    <w:rsid w:val="00053C1D"/>
    <w:rsid w:val="0005624B"/>
    <w:rsid w:val="0005639D"/>
    <w:rsid w:val="00061CF3"/>
    <w:rsid w:val="00063402"/>
    <w:rsid w:val="00064D03"/>
    <w:rsid w:val="00066168"/>
    <w:rsid w:val="00076936"/>
    <w:rsid w:val="000778D0"/>
    <w:rsid w:val="00080CEF"/>
    <w:rsid w:val="00082B6C"/>
    <w:rsid w:val="00086819"/>
    <w:rsid w:val="00086E90"/>
    <w:rsid w:val="00090028"/>
    <w:rsid w:val="00092A00"/>
    <w:rsid w:val="00094420"/>
    <w:rsid w:val="00094471"/>
    <w:rsid w:val="00095E4E"/>
    <w:rsid w:val="00097899"/>
    <w:rsid w:val="000A0972"/>
    <w:rsid w:val="000A0F1E"/>
    <w:rsid w:val="000A5A49"/>
    <w:rsid w:val="000A7D8C"/>
    <w:rsid w:val="000B0C1C"/>
    <w:rsid w:val="000B1739"/>
    <w:rsid w:val="000B47C0"/>
    <w:rsid w:val="000B6B8F"/>
    <w:rsid w:val="000B79BF"/>
    <w:rsid w:val="000C1804"/>
    <w:rsid w:val="000D1339"/>
    <w:rsid w:val="000D3F74"/>
    <w:rsid w:val="000D6B99"/>
    <w:rsid w:val="000D7641"/>
    <w:rsid w:val="000E304F"/>
    <w:rsid w:val="000E4A33"/>
    <w:rsid w:val="000E6875"/>
    <w:rsid w:val="000F0485"/>
    <w:rsid w:val="000F4D51"/>
    <w:rsid w:val="000F79C1"/>
    <w:rsid w:val="001007F2"/>
    <w:rsid w:val="00100A29"/>
    <w:rsid w:val="0010186B"/>
    <w:rsid w:val="00101DB9"/>
    <w:rsid w:val="00105D35"/>
    <w:rsid w:val="0010640A"/>
    <w:rsid w:val="00106661"/>
    <w:rsid w:val="00121570"/>
    <w:rsid w:val="001221F6"/>
    <w:rsid w:val="00125267"/>
    <w:rsid w:val="00127449"/>
    <w:rsid w:val="001300F9"/>
    <w:rsid w:val="0013140F"/>
    <w:rsid w:val="00133F29"/>
    <w:rsid w:val="00133FB7"/>
    <w:rsid w:val="0013758B"/>
    <w:rsid w:val="00141C4F"/>
    <w:rsid w:val="001421C3"/>
    <w:rsid w:val="0014362D"/>
    <w:rsid w:val="00143AC5"/>
    <w:rsid w:val="00144A33"/>
    <w:rsid w:val="0014550C"/>
    <w:rsid w:val="001455A8"/>
    <w:rsid w:val="00145D2A"/>
    <w:rsid w:val="00147984"/>
    <w:rsid w:val="001515AB"/>
    <w:rsid w:val="00160195"/>
    <w:rsid w:val="00160B32"/>
    <w:rsid w:val="001611D0"/>
    <w:rsid w:val="00164585"/>
    <w:rsid w:val="001656AB"/>
    <w:rsid w:val="0017123F"/>
    <w:rsid w:val="00175061"/>
    <w:rsid w:val="001762F6"/>
    <w:rsid w:val="00176D4C"/>
    <w:rsid w:val="0018009D"/>
    <w:rsid w:val="00191381"/>
    <w:rsid w:val="001918C2"/>
    <w:rsid w:val="00193D5F"/>
    <w:rsid w:val="00194926"/>
    <w:rsid w:val="00197614"/>
    <w:rsid w:val="001A20FE"/>
    <w:rsid w:val="001A2649"/>
    <w:rsid w:val="001B1F86"/>
    <w:rsid w:val="001B2222"/>
    <w:rsid w:val="001B6FE3"/>
    <w:rsid w:val="001B77FC"/>
    <w:rsid w:val="001C0DC8"/>
    <w:rsid w:val="001C16E3"/>
    <w:rsid w:val="001C2514"/>
    <w:rsid w:val="001C642C"/>
    <w:rsid w:val="001D4934"/>
    <w:rsid w:val="001D6484"/>
    <w:rsid w:val="001E1172"/>
    <w:rsid w:val="001E2922"/>
    <w:rsid w:val="001E5598"/>
    <w:rsid w:val="001E65CB"/>
    <w:rsid w:val="001E6F69"/>
    <w:rsid w:val="001E7943"/>
    <w:rsid w:val="001F332D"/>
    <w:rsid w:val="001F3A8F"/>
    <w:rsid w:val="001F5CBC"/>
    <w:rsid w:val="001F5F62"/>
    <w:rsid w:val="001F6AF6"/>
    <w:rsid w:val="0020128E"/>
    <w:rsid w:val="00204F6B"/>
    <w:rsid w:val="00205AA4"/>
    <w:rsid w:val="00211AE5"/>
    <w:rsid w:val="00212935"/>
    <w:rsid w:val="002145CF"/>
    <w:rsid w:val="00214F21"/>
    <w:rsid w:val="002160C4"/>
    <w:rsid w:val="0022199E"/>
    <w:rsid w:val="00224304"/>
    <w:rsid w:val="0023123B"/>
    <w:rsid w:val="0023209F"/>
    <w:rsid w:val="002327C4"/>
    <w:rsid w:val="00235598"/>
    <w:rsid w:val="00237D01"/>
    <w:rsid w:val="002469C5"/>
    <w:rsid w:val="00246F10"/>
    <w:rsid w:val="002473F3"/>
    <w:rsid w:val="00252239"/>
    <w:rsid w:val="00253728"/>
    <w:rsid w:val="00255F3E"/>
    <w:rsid w:val="002565C9"/>
    <w:rsid w:val="002601B3"/>
    <w:rsid w:val="0026153D"/>
    <w:rsid w:val="00270455"/>
    <w:rsid w:val="00273510"/>
    <w:rsid w:val="00273F53"/>
    <w:rsid w:val="00274323"/>
    <w:rsid w:val="002806DE"/>
    <w:rsid w:val="00281E06"/>
    <w:rsid w:val="0029151A"/>
    <w:rsid w:val="0029548F"/>
    <w:rsid w:val="002A29F6"/>
    <w:rsid w:val="002A2B35"/>
    <w:rsid w:val="002B030C"/>
    <w:rsid w:val="002B0373"/>
    <w:rsid w:val="002B0859"/>
    <w:rsid w:val="002B6805"/>
    <w:rsid w:val="002B6F12"/>
    <w:rsid w:val="002C178D"/>
    <w:rsid w:val="002C564E"/>
    <w:rsid w:val="002C60DA"/>
    <w:rsid w:val="002C6400"/>
    <w:rsid w:val="002C6710"/>
    <w:rsid w:val="002C6F5A"/>
    <w:rsid w:val="002D2091"/>
    <w:rsid w:val="002E2437"/>
    <w:rsid w:val="002E2F19"/>
    <w:rsid w:val="002E2F4E"/>
    <w:rsid w:val="002E5702"/>
    <w:rsid w:val="002E6010"/>
    <w:rsid w:val="002F0801"/>
    <w:rsid w:val="002F72A7"/>
    <w:rsid w:val="003010CF"/>
    <w:rsid w:val="00301761"/>
    <w:rsid w:val="0030340A"/>
    <w:rsid w:val="00307C09"/>
    <w:rsid w:val="003113DC"/>
    <w:rsid w:val="00311F29"/>
    <w:rsid w:val="00314E54"/>
    <w:rsid w:val="00315570"/>
    <w:rsid w:val="00327540"/>
    <w:rsid w:val="0033394C"/>
    <w:rsid w:val="00333E9D"/>
    <w:rsid w:val="00335864"/>
    <w:rsid w:val="00340B2C"/>
    <w:rsid w:val="0034229E"/>
    <w:rsid w:val="00342473"/>
    <w:rsid w:val="00343B29"/>
    <w:rsid w:val="00345E3F"/>
    <w:rsid w:val="00353C3A"/>
    <w:rsid w:val="00355501"/>
    <w:rsid w:val="00356ADF"/>
    <w:rsid w:val="00361AFB"/>
    <w:rsid w:val="00363BE2"/>
    <w:rsid w:val="00365212"/>
    <w:rsid w:val="00365379"/>
    <w:rsid w:val="003673B1"/>
    <w:rsid w:val="003702EF"/>
    <w:rsid w:val="00372459"/>
    <w:rsid w:val="00373BAF"/>
    <w:rsid w:val="0037429E"/>
    <w:rsid w:val="00374D8F"/>
    <w:rsid w:val="00374DEA"/>
    <w:rsid w:val="00375BFE"/>
    <w:rsid w:val="003762A2"/>
    <w:rsid w:val="00380A23"/>
    <w:rsid w:val="00383088"/>
    <w:rsid w:val="00385461"/>
    <w:rsid w:val="003854D6"/>
    <w:rsid w:val="00392F05"/>
    <w:rsid w:val="00395347"/>
    <w:rsid w:val="00395956"/>
    <w:rsid w:val="00397AFC"/>
    <w:rsid w:val="003A13C8"/>
    <w:rsid w:val="003A6BA6"/>
    <w:rsid w:val="003C054A"/>
    <w:rsid w:val="003C2C03"/>
    <w:rsid w:val="003D0369"/>
    <w:rsid w:val="003D26E6"/>
    <w:rsid w:val="003D2E16"/>
    <w:rsid w:val="003D4B87"/>
    <w:rsid w:val="003D75CD"/>
    <w:rsid w:val="003E0C3D"/>
    <w:rsid w:val="003E365B"/>
    <w:rsid w:val="003E4CA3"/>
    <w:rsid w:val="003E58DE"/>
    <w:rsid w:val="003E79A0"/>
    <w:rsid w:val="003F16C2"/>
    <w:rsid w:val="003F1873"/>
    <w:rsid w:val="003F2B98"/>
    <w:rsid w:val="003F5766"/>
    <w:rsid w:val="003F7A72"/>
    <w:rsid w:val="00401A44"/>
    <w:rsid w:val="0040470F"/>
    <w:rsid w:val="00404FC0"/>
    <w:rsid w:val="00412FEA"/>
    <w:rsid w:val="004218E0"/>
    <w:rsid w:val="004242FC"/>
    <w:rsid w:val="00425322"/>
    <w:rsid w:val="00426BAB"/>
    <w:rsid w:val="00432FA5"/>
    <w:rsid w:val="00434272"/>
    <w:rsid w:val="00435337"/>
    <w:rsid w:val="004370DD"/>
    <w:rsid w:val="004375E4"/>
    <w:rsid w:val="004376AF"/>
    <w:rsid w:val="00437B2E"/>
    <w:rsid w:val="0044169C"/>
    <w:rsid w:val="0044223A"/>
    <w:rsid w:val="00442D12"/>
    <w:rsid w:val="004459AE"/>
    <w:rsid w:val="00450F68"/>
    <w:rsid w:val="00452580"/>
    <w:rsid w:val="004540BB"/>
    <w:rsid w:val="0045496C"/>
    <w:rsid w:val="00455021"/>
    <w:rsid w:val="00457C9F"/>
    <w:rsid w:val="004647CA"/>
    <w:rsid w:val="0047343B"/>
    <w:rsid w:val="00475105"/>
    <w:rsid w:val="00476F51"/>
    <w:rsid w:val="00481881"/>
    <w:rsid w:val="00483135"/>
    <w:rsid w:val="00484B96"/>
    <w:rsid w:val="004856E6"/>
    <w:rsid w:val="0049149C"/>
    <w:rsid w:val="00492FB3"/>
    <w:rsid w:val="004A5CA5"/>
    <w:rsid w:val="004A6B0A"/>
    <w:rsid w:val="004B34E9"/>
    <w:rsid w:val="004B3CC4"/>
    <w:rsid w:val="004B5364"/>
    <w:rsid w:val="004C6508"/>
    <w:rsid w:val="004C7A48"/>
    <w:rsid w:val="004D1070"/>
    <w:rsid w:val="004D2788"/>
    <w:rsid w:val="004D3E75"/>
    <w:rsid w:val="004D57DD"/>
    <w:rsid w:val="004D7648"/>
    <w:rsid w:val="004E1599"/>
    <w:rsid w:val="004E1DF1"/>
    <w:rsid w:val="004E2944"/>
    <w:rsid w:val="004E33A4"/>
    <w:rsid w:val="004E4E2B"/>
    <w:rsid w:val="004E5C93"/>
    <w:rsid w:val="004F00EB"/>
    <w:rsid w:val="004F1CA4"/>
    <w:rsid w:val="004F55FC"/>
    <w:rsid w:val="004F63A4"/>
    <w:rsid w:val="004F63C7"/>
    <w:rsid w:val="004F7442"/>
    <w:rsid w:val="0050347C"/>
    <w:rsid w:val="005040B7"/>
    <w:rsid w:val="00505B60"/>
    <w:rsid w:val="00512554"/>
    <w:rsid w:val="00512D60"/>
    <w:rsid w:val="00515EFE"/>
    <w:rsid w:val="00516F5F"/>
    <w:rsid w:val="00520F08"/>
    <w:rsid w:val="0052198A"/>
    <w:rsid w:val="00522738"/>
    <w:rsid w:val="00523FC9"/>
    <w:rsid w:val="0052427A"/>
    <w:rsid w:val="00524420"/>
    <w:rsid w:val="005262C9"/>
    <w:rsid w:val="00531446"/>
    <w:rsid w:val="00531D22"/>
    <w:rsid w:val="00535067"/>
    <w:rsid w:val="00535687"/>
    <w:rsid w:val="005358EB"/>
    <w:rsid w:val="00537CB2"/>
    <w:rsid w:val="0054112D"/>
    <w:rsid w:val="00544E84"/>
    <w:rsid w:val="00550582"/>
    <w:rsid w:val="00550F11"/>
    <w:rsid w:val="00553E82"/>
    <w:rsid w:val="005545D0"/>
    <w:rsid w:val="00554A74"/>
    <w:rsid w:val="00570DBD"/>
    <w:rsid w:val="0057186D"/>
    <w:rsid w:val="005800E2"/>
    <w:rsid w:val="00586365"/>
    <w:rsid w:val="00591A49"/>
    <w:rsid w:val="00594F30"/>
    <w:rsid w:val="005A166B"/>
    <w:rsid w:val="005A4AB7"/>
    <w:rsid w:val="005B0AF0"/>
    <w:rsid w:val="005B1295"/>
    <w:rsid w:val="005B5520"/>
    <w:rsid w:val="005C3577"/>
    <w:rsid w:val="005C534E"/>
    <w:rsid w:val="005D07D9"/>
    <w:rsid w:val="005D1067"/>
    <w:rsid w:val="005D339C"/>
    <w:rsid w:val="005D4CC0"/>
    <w:rsid w:val="005D79B5"/>
    <w:rsid w:val="005E09D2"/>
    <w:rsid w:val="005E119E"/>
    <w:rsid w:val="005E4652"/>
    <w:rsid w:val="005E6C97"/>
    <w:rsid w:val="005F1112"/>
    <w:rsid w:val="005F14B2"/>
    <w:rsid w:val="005F25D1"/>
    <w:rsid w:val="005F5476"/>
    <w:rsid w:val="006013F2"/>
    <w:rsid w:val="00602714"/>
    <w:rsid w:val="00605FCA"/>
    <w:rsid w:val="006078B1"/>
    <w:rsid w:val="006102BA"/>
    <w:rsid w:val="006135E0"/>
    <w:rsid w:val="006140B6"/>
    <w:rsid w:val="006159E1"/>
    <w:rsid w:val="006209F9"/>
    <w:rsid w:val="006217AF"/>
    <w:rsid w:val="00621ABA"/>
    <w:rsid w:val="00627882"/>
    <w:rsid w:val="00627D7F"/>
    <w:rsid w:val="0063004F"/>
    <w:rsid w:val="0063073F"/>
    <w:rsid w:val="00634575"/>
    <w:rsid w:val="00640EAB"/>
    <w:rsid w:val="00641C4C"/>
    <w:rsid w:val="00643169"/>
    <w:rsid w:val="00643695"/>
    <w:rsid w:val="00644C70"/>
    <w:rsid w:val="00651DA7"/>
    <w:rsid w:val="0066075C"/>
    <w:rsid w:val="006626BA"/>
    <w:rsid w:val="006716B9"/>
    <w:rsid w:val="00675C3D"/>
    <w:rsid w:val="00675F17"/>
    <w:rsid w:val="0067622A"/>
    <w:rsid w:val="00677546"/>
    <w:rsid w:val="0068398B"/>
    <w:rsid w:val="00684BE4"/>
    <w:rsid w:val="00690EED"/>
    <w:rsid w:val="00691051"/>
    <w:rsid w:val="00692FAE"/>
    <w:rsid w:val="006941E6"/>
    <w:rsid w:val="006959D6"/>
    <w:rsid w:val="00697203"/>
    <w:rsid w:val="006A0BA5"/>
    <w:rsid w:val="006A255D"/>
    <w:rsid w:val="006A30B8"/>
    <w:rsid w:val="006A56D4"/>
    <w:rsid w:val="006A657F"/>
    <w:rsid w:val="006A6AA2"/>
    <w:rsid w:val="006A7D3C"/>
    <w:rsid w:val="006B00E5"/>
    <w:rsid w:val="006B145E"/>
    <w:rsid w:val="006B22D9"/>
    <w:rsid w:val="006B2FE0"/>
    <w:rsid w:val="006B5E9C"/>
    <w:rsid w:val="006B6F41"/>
    <w:rsid w:val="006B71CF"/>
    <w:rsid w:val="006B7E2E"/>
    <w:rsid w:val="006C0DB8"/>
    <w:rsid w:val="006C278F"/>
    <w:rsid w:val="006C5B56"/>
    <w:rsid w:val="006C7E79"/>
    <w:rsid w:val="006D110E"/>
    <w:rsid w:val="006D15A3"/>
    <w:rsid w:val="006D1BEF"/>
    <w:rsid w:val="006D32BA"/>
    <w:rsid w:val="006D46C8"/>
    <w:rsid w:val="006D7C11"/>
    <w:rsid w:val="006E231F"/>
    <w:rsid w:val="006E3967"/>
    <w:rsid w:val="006E40E4"/>
    <w:rsid w:val="006E4955"/>
    <w:rsid w:val="006E5F22"/>
    <w:rsid w:val="006E7F18"/>
    <w:rsid w:val="006F1009"/>
    <w:rsid w:val="006F3B49"/>
    <w:rsid w:val="006F46F2"/>
    <w:rsid w:val="006F53CD"/>
    <w:rsid w:val="007018B7"/>
    <w:rsid w:val="0070408F"/>
    <w:rsid w:val="00704513"/>
    <w:rsid w:val="00706D78"/>
    <w:rsid w:val="007149A2"/>
    <w:rsid w:val="00714B34"/>
    <w:rsid w:val="00714F2D"/>
    <w:rsid w:val="00716A3C"/>
    <w:rsid w:val="007208F1"/>
    <w:rsid w:val="00720BA0"/>
    <w:rsid w:val="00722235"/>
    <w:rsid w:val="0072420B"/>
    <w:rsid w:val="0072580E"/>
    <w:rsid w:val="007325B6"/>
    <w:rsid w:val="0073434C"/>
    <w:rsid w:val="00734E51"/>
    <w:rsid w:val="00735D9C"/>
    <w:rsid w:val="00736A68"/>
    <w:rsid w:val="00742250"/>
    <w:rsid w:val="00742907"/>
    <w:rsid w:val="0074339D"/>
    <w:rsid w:val="007447D8"/>
    <w:rsid w:val="0074588B"/>
    <w:rsid w:val="00750886"/>
    <w:rsid w:val="00750926"/>
    <w:rsid w:val="007510CB"/>
    <w:rsid w:val="00751563"/>
    <w:rsid w:val="0075586C"/>
    <w:rsid w:val="00756953"/>
    <w:rsid w:val="007571E3"/>
    <w:rsid w:val="00761157"/>
    <w:rsid w:val="007615D2"/>
    <w:rsid w:val="00763DF1"/>
    <w:rsid w:val="00764B01"/>
    <w:rsid w:val="007654F3"/>
    <w:rsid w:val="007665F2"/>
    <w:rsid w:val="00771C18"/>
    <w:rsid w:val="00773CC3"/>
    <w:rsid w:val="0077565C"/>
    <w:rsid w:val="00775A36"/>
    <w:rsid w:val="00776AD8"/>
    <w:rsid w:val="00781B95"/>
    <w:rsid w:val="007874DB"/>
    <w:rsid w:val="00790BA7"/>
    <w:rsid w:val="00790F0C"/>
    <w:rsid w:val="00791B28"/>
    <w:rsid w:val="007930FA"/>
    <w:rsid w:val="00793FF4"/>
    <w:rsid w:val="007960C4"/>
    <w:rsid w:val="007A27B6"/>
    <w:rsid w:val="007A5914"/>
    <w:rsid w:val="007A619D"/>
    <w:rsid w:val="007A74D9"/>
    <w:rsid w:val="007B0EE1"/>
    <w:rsid w:val="007B334D"/>
    <w:rsid w:val="007B4993"/>
    <w:rsid w:val="007B4A76"/>
    <w:rsid w:val="007B5F16"/>
    <w:rsid w:val="007B7743"/>
    <w:rsid w:val="007C12F4"/>
    <w:rsid w:val="007C5999"/>
    <w:rsid w:val="007D2202"/>
    <w:rsid w:val="007D5C4D"/>
    <w:rsid w:val="007D6FAB"/>
    <w:rsid w:val="007E03EE"/>
    <w:rsid w:val="007E313A"/>
    <w:rsid w:val="007E3516"/>
    <w:rsid w:val="007E633E"/>
    <w:rsid w:val="007E79DA"/>
    <w:rsid w:val="007F07CF"/>
    <w:rsid w:val="007F0AF1"/>
    <w:rsid w:val="007F1D68"/>
    <w:rsid w:val="007F21B0"/>
    <w:rsid w:val="007F7A3A"/>
    <w:rsid w:val="00801719"/>
    <w:rsid w:val="00802BDE"/>
    <w:rsid w:val="008068D9"/>
    <w:rsid w:val="00807854"/>
    <w:rsid w:val="00807C53"/>
    <w:rsid w:val="00807D5B"/>
    <w:rsid w:val="00810855"/>
    <w:rsid w:val="00810DD9"/>
    <w:rsid w:val="00811B78"/>
    <w:rsid w:val="008120A0"/>
    <w:rsid w:val="0081793A"/>
    <w:rsid w:val="008216A3"/>
    <w:rsid w:val="008219A9"/>
    <w:rsid w:val="0082527E"/>
    <w:rsid w:val="0082561C"/>
    <w:rsid w:val="008256CE"/>
    <w:rsid w:val="008321E2"/>
    <w:rsid w:val="008345BB"/>
    <w:rsid w:val="00836A26"/>
    <w:rsid w:val="00840FB4"/>
    <w:rsid w:val="0084250E"/>
    <w:rsid w:val="00842555"/>
    <w:rsid w:val="008474EC"/>
    <w:rsid w:val="00847B9E"/>
    <w:rsid w:val="008521EA"/>
    <w:rsid w:val="00853AE9"/>
    <w:rsid w:val="00856CCC"/>
    <w:rsid w:val="00857278"/>
    <w:rsid w:val="0085791B"/>
    <w:rsid w:val="008616AB"/>
    <w:rsid w:val="00864BA3"/>
    <w:rsid w:val="008700D4"/>
    <w:rsid w:val="0087234F"/>
    <w:rsid w:val="00874057"/>
    <w:rsid w:val="00876A6D"/>
    <w:rsid w:val="00877066"/>
    <w:rsid w:val="008772F1"/>
    <w:rsid w:val="008807AB"/>
    <w:rsid w:val="00883562"/>
    <w:rsid w:val="00883D21"/>
    <w:rsid w:val="008864FD"/>
    <w:rsid w:val="00886F16"/>
    <w:rsid w:val="00890E93"/>
    <w:rsid w:val="00891997"/>
    <w:rsid w:val="00892CDD"/>
    <w:rsid w:val="008955BF"/>
    <w:rsid w:val="00896821"/>
    <w:rsid w:val="008A0FC8"/>
    <w:rsid w:val="008A119C"/>
    <w:rsid w:val="008A34C3"/>
    <w:rsid w:val="008A3A19"/>
    <w:rsid w:val="008A5AC2"/>
    <w:rsid w:val="008A65BF"/>
    <w:rsid w:val="008A6F64"/>
    <w:rsid w:val="008B0E2F"/>
    <w:rsid w:val="008B12FD"/>
    <w:rsid w:val="008B2C1F"/>
    <w:rsid w:val="008B3FF9"/>
    <w:rsid w:val="008B52E0"/>
    <w:rsid w:val="008C1D44"/>
    <w:rsid w:val="008C2887"/>
    <w:rsid w:val="008C50D4"/>
    <w:rsid w:val="008D3191"/>
    <w:rsid w:val="008D4606"/>
    <w:rsid w:val="008D7323"/>
    <w:rsid w:val="008D7794"/>
    <w:rsid w:val="008E0E71"/>
    <w:rsid w:val="008E2917"/>
    <w:rsid w:val="008E3AF1"/>
    <w:rsid w:val="008E5052"/>
    <w:rsid w:val="008F515F"/>
    <w:rsid w:val="009003A4"/>
    <w:rsid w:val="00901099"/>
    <w:rsid w:val="0090116F"/>
    <w:rsid w:val="0090269B"/>
    <w:rsid w:val="00902716"/>
    <w:rsid w:val="00905031"/>
    <w:rsid w:val="00905B44"/>
    <w:rsid w:val="0091212D"/>
    <w:rsid w:val="00913354"/>
    <w:rsid w:val="0091742C"/>
    <w:rsid w:val="00920A33"/>
    <w:rsid w:val="0092125A"/>
    <w:rsid w:val="009224F3"/>
    <w:rsid w:val="00923249"/>
    <w:rsid w:val="00927361"/>
    <w:rsid w:val="00931D5F"/>
    <w:rsid w:val="0093360F"/>
    <w:rsid w:val="00934C9A"/>
    <w:rsid w:val="0093535A"/>
    <w:rsid w:val="00937955"/>
    <w:rsid w:val="009419AD"/>
    <w:rsid w:val="00943A20"/>
    <w:rsid w:val="00944148"/>
    <w:rsid w:val="009467F3"/>
    <w:rsid w:val="00951A6A"/>
    <w:rsid w:val="00951BD8"/>
    <w:rsid w:val="00952B53"/>
    <w:rsid w:val="00952E1D"/>
    <w:rsid w:val="00953333"/>
    <w:rsid w:val="009560D1"/>
    <w:rsid w:val="00956C03"/>
    <w:rsid w:val="0096134E"/>
    <w:rsid w:val="009626A5"/>
    <w:rsid w:val="00971621"/>
    <w:rsid w:val="00974053"/>
    <w:rsid w:val="009751FB"/>
    <w:rsid w:val="00977170"/>
    <w:rsid w:val="00977CC5"/>
    <w:rsid w:val="00977F28"/>
    <w:rsid w:val="009804EE"/>
    <w:rsid w:val="009806C5"/>
    <w:rsid w:val="00980B34"/>
    <w:rsid w:val="00983E9F"/>
    <w:rsid w:val="00984A1F"/>
    <w:rsid w:val="00986480"/>
    <w:rsid w:val="00986B7C"/>
    <w:rsid w:val="00986CB2"/>
    <w:rsid w:val="0098703D"/>
    <w:rsid w:val="0099312D"/>
    <w:rsid w:val="00993B45"/>
    <w:rsid w:val="009A3CDC"/>
    <w:rsid w:val="009A64D2"/>
    <w:rsid w:val="009A6E48"/>
    <w:rsid w:val="009B3B22"/>
    <w:rsid w:val="009B6D3E"/>
    <w:rsid w:val="009B7236"/>
    <w:rsid w:val="009C4749"/>
    <w:rsid w:val="009C5995"/>
    <w:rsid w:val="009C68B8"/>
    <w:rsid w:val="009D099C"/>
    <w:rsid w:val="009D0FDD"/>
    <w:rsid w:val="009D17EE"/>
    <w:rsid w:val="009D4EB7"/>
    <w:rsid w:val="009E1373"/>
    <w:rsid w:val="009E4158"/>
    <w:rsid w:val="009E63C9"/>
    <w:rsid w:val="009E6F87"/>
    <w:rsid w:val="009F0B46"/>
    <w:rsid w:val="009F0E91"/>
    <w:rsid w:val="009F0F1C"/>
    <w:rsid w:val="009F0FBD"/>
    <w:rsid w:val="009F2F74"/>
    <w:rsid w:val="009F318F"/>
    <w:rsid w:val="009F4B26"/>
    <w:rsid w:val="009F63E7"/>
    <w:rsid w:val="009F6FE4"/>
    <w:rsid w:val="009F715B"/>
    <w:rsid w:val="00A008B4"/>
    <w:rsid w:val="00A00BE3"/>
    <w:rsid w:val="00A01AF6"/>
    <w:rsid w:val="00A0308F"/>
    <w:rsid w:val="00A03146"/>
    <w:rsid w:val="00A03F59"/>
    <w:rsid w:val="00A051C3"/>
    <w:rsid w:val="00A05216"/>
    <w:rsid w:val="00A05747"/>
    <w:rsid w:val="00A13F2C"/>
    <w:rsid w:val="00A1529E"/>
    <w:rsid w:val="00A17B93"/>
    <w:rsid w:val="00A27D19"/>
    <w:rsid w:val="00A30D9D"/>
    <w:rsid w:val="00A3105F"/>
    <w:rsid w:val="00A346BF"/>
    <w:rsid w:val="00A3570C"/>
    <w:rsid w:val="00A3639B"/>
    <w:rsid w:val="00A40089"/>
    <w:rsid w:val="00A40C3C"/>
    <w:rsid w:val="00A44A82"/>
    <w:rsid w:val="00A44A8F"/>
    <w:rsid w:val="00A454D4"/>
    <w:rsid w:val="00A47281"/>
    <w:rsid w:val="00A52AD2"/>
    <w:rsid w:val="00A5528D"/>
    <w:rsid w:val="00A63489"/>
    <w:rsid w:val="00A64EB1"/>
    <w:rsid w:val="00A674A2"/>
    <w:rsid w:val="00A71B59"/>
    <w:rsid w:val="00A71D05"/>
    <w:rsid w:val="00A72EAD"/>
    <w:rsid w:val="00A75F9A"/>
    <w:rsid w:val="00A76782"/>
    <w:rsid w:val="00A77066"/>
    <w:rsid w:val="00A81C37"/>
    <w:rsid w:val="00A85760"/>
    <w:rsid w:val="00A90565"/>
    <w:rsid w:val="00A90741"/>
    <w:rsid w:val="00A90822"/>
    <w:rsid w:val="00A934B7"/>
    <w:rsid w:val="00A93D73"/>
    <w:rsid w:val="00A949E6"/>
    <w:rsid w:val="00AA02F2"/>
    <w:rsid w:val="00AA108F"/>
    <w:rsid w:val="00AA1951"/>
    <w:rsid w:val="00AA1A4E"/>
    <w:rsid w:val="00AA401A"/>
    <w:rsid w:val="00AA58C2"/>
    <w:rsid w:val="00AA592B"/>
    <w:rsid w:val="00AA7011"/>
    <w:rsid w:val="00AB100E"/>
    <w:rsid w:val="00AB26D6"/>
    <w:rsid w:val="00AB27C5"/>
    <w:rsid w:val="00AB292A"/>
    <w:rsid w:val="00AC69E1"/>
    <w:rsid w:val="00AC6E47"/>
    <w:rsid w:val="00AD03A7"/>
    <w:rsid w:val="00AD1ED4"/>
    <w:rsid w:val="00AD2CF0"/>
    <w:rsid w:val="00AD3CED"/>
    <w:rsid w:val="00AD4F28"/>
    <w:rsid w:val="00AD78DF"/>
    <w:rsid w:val="00AD7998"/>
    <w:rsid w:val="00AE1C4C"/>
    <w:rsid w:val="00AE3717"/>
    <w:rsid w:val="00AE4063"/>
    <w:rsid w:val="00AE4966"/>
    <w:rsid w:val="00AE562C"/>
    <w:rsid w:val="00AF1A18"/>
    <w:rsid w:val="00AF545F"/>
    <w:rsid w:val="00AF6DED"/>
    <w:rsid w:val="00AF7066"/>
    <w:rsid w:val="00B02CB0"/>
    <w:rsid w:val="00B02E43"/>
    <w:rsid w:val="00B0347F"/>
    <w:rsid w:val="00B05FE7"/>
    <w:rsid w:val="00B06105"/>
    <w:rsid w:val="00B11F98"/>
    <w:rsid w:val="00B12071"/>
    <w:rsid w:val="00B1269C"/>
    <w:rsid w:val="00B14A24"/>
    <w:rsid w:val="00B17254"/>
    <w:rsid w:val="00B2198C"/>
    <w:rsid w:val="00B22C5C"/>
    <w:rsid w:val="00B334E2"/>
    <w:rsid w:val="00B340CD"/>
    <w:rsid w:val="00B359A2"/>
    <w:rsid w:val="00B35E50"/>
    <w:rsid w:val="00B36A42"/>
    <w:rsid w:val="00B3755C"/>
    <w:rsid w:val="00B40BD5"/>
    <w:rsid w:val="00B43586"/>
    <w:rsid w:val="00B43615"/>
    <w:rsid w:val="00B46253"/>
    <w:rsid w:val="00B50F8F"/>
    <w:rsid w:val="00B51AC7"/>
    <w:rsid w:val="00B5240E"/>
    <w:rsid w:val="00B52519"/>
    <w:rsid w:val="00B5391B"/>
    <w:rsid w:val="00B576D5"/>
    <w:rsid w:val="00B638DA"/>
    <w:rsid w:val="00B65D7E"/>
    <w:rsid w:val="00B66D60"/>
    <w:rsid w:val="00B726C5"/>
    <w:rsid w:val="00B73378"/>
    <w:rsid w:val="00B74E15"/>
    <w:rsid w:val="00B77A70"/>
    <w:rsid w:val="00B808BF"/>
    <w:rsid w:val="00B8118F"/>
    <w:rsid w:val="00B813BD"/>
    <w:rsid w:val="00B86718"/>
    <w:rsid w:val="00B943EB"/>
    <w:rsid w:val="00BA081D"/>
    <w:rsid w:val="00BA29D2"/>
    <w:rsid w:val="00BA3EF8"/>
    <w:rsid w:val="00BA5EBF"/>
    <w:rsid w:val="00BA7AA5"/>
    <w:rsid w:val="00BB021A"/>
    <w:rsid w:val="00BB0FE4"/>
    <w:rsid w:val="00BB27C9"/>
    <w:rsid w:val="00BC296D"/>
    <w:rsid w:val="00BC5D1E"/>
    <w:rsid w:val="00BD00E7"/>
    <w:rsid w:val="00BD1491"/>
    <w:rsid w:val="00BD2BDD"/>
    <w:rsid w:val="00BD4973"/>
    <w:rsid w:val="00BD4FC7"/>
    <w:rsid w:val="00BD526E"/>
    <w:rsid w:val="00BD7771"/>
    <w:rsid w:val="00BD7BD6"/>
    <w:rsid w:val="00BD7FB3"/>
    <w:rsid w:val="00BE25AC"/>
    <w:rsid w:val="00BE2A71"/>
    <w:rsid w:val="00BE2F2A"/>
    <w:rsid w:val="00BE4D65"/>
    <w:rsid w:val="00BE7537"/>
    <w:rsid w:val="00BE7EA8"/>
    <w:rsid w:val="00BF1F3F"/>
    <w:rsid w:val="00BF24C5"/>
    <w:rsid w:val="00BF360A"/>
    <w:rsid w:val="00BF5DF3"/>
    <w:rsid w:val="00BF687C"/>
    <w:rsid w:val="00C00EC1"/>
    <w:rsid w:val="00C02D37"/>
    <w:rsid w:val="00C0376E"/>
    <w:rsid w:val="00C03FEF"/>
    <w:rsid w:val="00C05B99"/>
    <w:rsid w:val="00C06621"/>
    <w:rsid w:val="00C100ED"/>
    <w:rsid w:val="00C11D25"/>
    <w:rsid w:val="00C11FD3"/>
    <w:rsid w:val="00C15AA7"/>
    <w:rsid w:val="00C172AE"/>
    <w:rsid w:val="00C21D02"/>
    <w:rsid w:val="00C23C31"/>
    <w:rsid w:val="00C2539B"/>
    <w:rsid w:val="00C27EF1"/>
    <w:rsid w:val="00C31256"/>
    <w:rsid w:val="00C31717"/>
    <w:rsid w:val="00C3211C"/>
    <w:rsid w:val="00C372F6"/>
    <w:rsid w:val="00C40F71"/>
    <w:rsid w:val="00C413F3"/>
    <w:rsid w:val="00C515D0"/>
    <w:rsid w:val="00C52A27"/>
    <w:rsid w:val="00C52C13"/>
    <w:rsid w:val="00C5340E"/>
    <w:rsid w:val="00C5347F"/>
    <w:rsid w:val="00C53E99"/>
    <w:rsid w:val="00C5508C"/>
    <w:rsid w:val="00C55624"/>
    <w:rsid w:val="00C571FF"/>
    <w:rsid w:val="00C5784F"/>
    <w:rsid w:val="00C6021A"/>
    <w:rsid w:val="00C70564"/>
    <w:rsid w:val="00C72D2C"/>
    <w:rsid w:val="00C7322C"/>
    <w:rsid w:val="00C77574"/>
    <w:rsid w:val="00C801E6"/>
    <w:rsid w:val="00C82B69"/>
    <w:rsid w:val="00C834EC"/>
    <w:rsid w:val="00C838B4"/>
    <w:rsid w:val="00C9081B"/>
    <w:rsid w:val="00C94412"/>
    <w:rsid w:val="00CA5046"/>
    <w:rsid w:val="00CA6BBB"/>
    <w:rsid w:val="00CB109C"/>
    <w:rsid w:val="00CB14C0"/>
    <w:rsid w:val="00CB1537"/>
    <w:rsid w:val="00CC053B"/>
    <w:rsid w:val="00CC1BB9"/>
    <w:rsid w:val="00CC5747"/>
    <w:rsid w:val="00CD7325"/>
    <w:rsid w:val="00CD7376"/>
    <w:rsid w:val="00CE0C8A"/>
    <w:rsid w:val="00CE1788"/>
    <w:rsid w:val="00CE1BB5"/>
    <w:rsid w:val="00CE3F7A"/>
    <w:rsid w:val="00CE61C1"/>
    <w:rsid w:val="00CE680A"/>
    <w:rsid w:val="00CE7192"/>
    <w:rsid w:val="00CE7346"/>
    <w:rsid w:val="00CE7A3D"/>
    <w:rsid w:val="00CF2111"/>
    <w:rsid w:val="00CF49ED"/>
    <w:rsid w:val="00CF4DE0"/>
    <w:rsid w:val="00CF6CA2"/>
    <w:rsid w:val="00D001FC"/>
    <w:rsid w:val="00D01913"/>
    <w:rsid w:val="00D03FE3"/>
    <w:rsid w:val="00D042CD"/>
    <w:rsid w:val="00D05490"/>
    <w:rsid w:val="00D0724C"/>
    <w:rsid w:val="00D07577"/>
    <w:rsid w:val="00D10E88"/>
    <w:rsid w:val="00D11D73"/>
    <w:rsid w:val="00D11E2D"/>
    <w:rsid w:val="00D11F44"/>
    <w:rsid w:val="00D12EE8"/>
    <w:rsid w:val="00D157E4"/>
    <w:rsid w:val="00D21E47"/>
    <w:rsid w:val="00D22417"/>
    <w:rsid w:val="00D22CD8"/>
    <w:rsid w:val="00D248DC"/>
    <w:rsid w:val="00D31027"/>
    <w:rsid w:val="00D4084B"/>
    <w:rsid w:val="00D40BDF"/>
    <w:rsid w:val="00D42397"/>
    <w:rsid w:val="00D4403E"/>
    <w:rsid w:val="00D536E5"/>
    <w:rsid w:val="00D55C16"/>
    <w:rsid w:val="00D56587"/>
    <w:rsid w:val="00D57B66"/>
    <w:rsid w:val="00D57C89"/>
    <w:rsid w:val="00D637B4"/>
    <w:rsid w:val="00D63B4D"/>
    <w:rsid w:val="00D660D6"/>
    <w:rsid w:val="00D66E17"/>
    <w:rsid w:val="00D70A68"/>
    <w:rsid w:val="00D72854"/>
    <w:rsid w:val="00D744D4"/>
    <w:rsid w:val="00D7569B"/>
    <w:rsid w:val="00D757AA"/>
    <w:rsid w:val="00D771E2"/>
    <w:rsid w:val="00D7781A"/>
    <w:rsid w:val="00D82062"/>
    <w:rsid w:val="00D830D3"/>
    <w:rsid w:val="00D844B1"/>
    <w:rsid w:val="00D85781"/>
    <w:rsid w:val="00D91F52"/>
    <w:rsid w:val="00D922A4"/>
    <w:rsid w:val="00D9600F"/>
    <w:rsid w:val="00DA075E"/>
    <w:rsid w:val="00DA547A"/>
    <w:rsid w:val="00DA68FA"/>
    <w:rsid w:val="00DB0954"/>
    <w:rsid w:val="00DB19E8"/>
    <w:rsid w:val="00DB5028"/>
    <w:rsid w:val="00DB5A47"/>
    <w:rsid w:val="00DB6E40"/>
    <w:rsid w:val="00DC30D2"/>
    <w:rsid w:val="00DC384C"/>
    <w:rsid w:val="00DC39D6"/>
    <w:rsid w:val="00DC72E3"/>
    <w:rsid w:val="00DC7CFF"/>
    <w:rsid w:val="00DD070D"/>
    <w:rsid w:val="00DD5A82"/>
    <w:rsid w:val="00DD696D"/>
    <w:rsid w:val="00DD7CC7"/>
    <w:rsid w:val="00DE4950"/>
    <w:rsid w:val="00DE5118"/>
    <w:rsid w:val="00DE77EA"/>
    <w:rsid w:val="00DF1BD1"/>
    <w:rsid w:val="00DF41C3"/>
    <w:rsid w:val="00E0458E"/>
    <w:rsid w:val="00E071CC"/>
    <w:rsid w:val="00E11047"/>
    <w:rsid w:val="00E114A0"/>
    <w:rsid w:val="00E218B4"/>
    <w:rsid w:val="00E23784"/>
    <w:rsid w:val="00E24F90"/>
    <w:rsid w:val="00E2696B"/>
    <w:rsid w:val="00E26B06"/>
    <w:rsid w:val="00E30545"/>
    <w:rsid w:val="00E31F56"/>
    <w:rsid w:val="00E32213"/>
    <w:rsid w:val="00E328C0"/>
    <w:rsid w:val="00E349E1"/>
    <w:rsid w:val="00E3691D"/>
    <w:rsid w:val="00E36A34"/>
    <w:rsid w:val="00E4174F"/>
    <w:rsid w:val="00E41AC6"/>
    <w:rsid w:val="00E425D5"/>
    <w:rsid w:val="00E428AA"/>
    <w:rsid w:val="00E42937"/>
    <w:rsid w:val="00E463EB"/>
    <w:rsid w:val="00E47815"/>
    <w:rsid w:val="00E510BE"/>
    <w:rsid w:val="00E547A2"/>
    <w:rsid w:val="00E56A40"/>
    <w:rsid w:val="00E64E50"/>
    <w:rsid w:val="00E6649B"/>
    <w:rsid w:val="00E70D48"/>
    <w:rsid w:val="00E73206"/>
    <w:rsid w:val="00E81F48"/>
    <w:rsid w:val="00E85EFA"/>
    <w:rsid w:val="00E91D9A"/>
    <w:rsid w:val="00E96F9F"/>
    <w:rsid w:val="00EA246E"/>
    <w:rsid w:val="00EA4E71"/>
    <w:rsid w:val="00EB02BF"/>
    <w:rsid w:val="00EB1C6B"/>
    <w:rsid w:val="00EB566D"/>
    <w:rsid w:val="00EB56A5"/>
    <w:rsid w:val="00EB7CBA"/>
    <w:rsid w:val="00EB7E1A"/>
    <w:rsid w:val="00EC0ED8"/>
    <w:rsid w:val="00EC2CC0"/>
    <w:rsid w:val="00EC69C1"/>
    <w:rsid w:val="00ED0680"/>
    <w:rsid w:val="00ED737B"/>
    <w:rsid w:val="00EE0190"/>
    <w:rsid w:val="00EE18CF"/>
    <w:rsid w:val="00EF4051"/>
    <w:rsid w:val="00EF4FCD"/>
    <w:rsid w:val="00EF5073"/>
    <w:rsid w:val="00EF5972"/>
    <w:rsid w:val="00EF7031"/>
    <w:rsid w:val="00EF7089"/>
    <w:rsid w:val="00F02081"/>
    <w:rsid w:val="00F03DA8"/>
    <w:rsid w:val="00F050EA"/>
    <w:rsid w:val="00F05BF6"/>
    <w:rsid w:val="00F113DB"/>
    <w:rsid w:val="00F11EE5"/>
    <w:rsid w:val="00F173A7"/>
    <w:rsid w:val="00F17FA9"/>
    <w:rsid w:val="00F205F8"/>
    <w:rsid w:val="00F20C51"/>
    <w:rsid w:val="00F20D8F"/>
    <w:rsid w:val="00F20DC4"/>
    <w:rsid w:val="00F2243F"/>
    <w:rsid w:val="00F22CD3"/>
    <w:rsid w:val="00F24587"/>
    <w:rsid w:val="00F26D34"/>
    <w:rsid w:val="00F26FE4"/>
    <w:rsid w:val="00F30082"/>
    <w:rsid w:val="00F3532B"/>
    <w:rsid w:val="00F355B5"/>
    <w:rsid w:val="00F4084A"/>
    <w:rsid w:val="00F4169C"/>
    <w:rsid w:val="00F4758E"/>
    <w:rsid w:val="00F479CF"/>
    <w:rsid w:val="00F516CE"/>
    <w:rsid w:val="00F5496E"/>
    <w:rsid w:val="00F55CD7"/>
    <w:rsid w:val="00F56991"/>
    <w:rsid w:val="00F57CC8"/>
    <w:rsid w:val="00F711E1"/>
    <w:rsid w:val="00F74665"/>
    <w:rsid w:val="00F7774C"/>
    <w:rsid w:val="00F80FFE"/>
    <w:rsid w:val="00F83C61"/>
    <w:rsid w:val="00F879ED"/>
    <w:rsid w:val="00F95D71"/>
    <w:rsid w:val="00F9680A"/>
    <w:rsid w:val="00F97C5C"/>
    <w:rsid w:val="00FA1A85"/>
    <w:rsid w:val="00FA6708"/>
    <w:rsid w:val="00FA6803"/>
    <w:rsid w:val="00FB3AC6"/>
    <w:rsid w:val="00FC286A"/>
    <w:rsid w:val="00FC295C"/>
    <w:rsid w:val="00FC3B7B"/>
    <w:rsid w:val="00FC4CC4"/>
    <w:rsid w:val="00FC5885"/>
    <w:rsid w:val="00FC6AB8"/>
    <w:rsid w:val="00FD07A4"/>
    <w:rsid w:val="00FD2506"/>
    <w:rsid w:val="00FD3548"/>
    <w:rsid w:val="00FD51DB"/>
    <w:rsid w:val="00FD5FCB"/>
    <w:rsid w:val="00FE01F2"/>
    <w:rsid w:val="00FE20CD"/>
    <w:rsid w:val="00FE2ED3"/>
    <w:rsid w:val="00FE42BA"/>
    <w:rsid w:val="00FE556B"/>
    <w:rsid w:val="00FF7934"/>
    <w:rsid w:val="00FF7D4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37520A79"/>
  <w15:docId w15:val="{DCCB209D-C091-4DC9-9905-1D155B254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AC5"/>
    <w:pPr>
      <w:widowControl w:val="0"/>
      <w:suppressAutoHyphens/>
      <w:textAlignment w:val="baseline"/>
    </w:pPr>
    <w:rPr>
      <w:rFonts w:eastAsia="Arial Unicode MS" w:cs="Arial Unicode MS"/>
      <w:kern w:val="1"/>
      <w:sz w:val="24"/>
      <w:szCs w:val="24"/>
      <w:lang w:val="de-CH" w:eastAsia="zh-CN" w:bidi="hi-IN"/>
    </w:rPr>
  </w:style>
  <w:style w:type="paragraph" w:styleId="Heading1">
    <w:name w:val="heading 1"/>
    <w:basedOn w:val="berschrift"/>
    <w:next w:val="BodyText"/>
    <w:qFormat/>
    <w:pPr>
      <w:numPr>
        <w:numId w:val="2"/>
      </w:numPr>
      <w:outlineLvl w:val="0"/>
    </w:pPr>
    <w:rPr>
      <w:b/>
      <w:bCs/>
      <w:sz w:val="36"/>
      <w:szCs w:val="36"/>
    </w:rPr>
  </w:style>
  <w:style w:type="paragraph" w:styleId="Heading2">
    <w:name w:val="heading 2"/>
    <w:basedOn w:val="berschrift"/>
    <w:next w:val="BodyText"/>
    <w:qFormat/>
    <w:pPr>
      <w:numPr>
        <w:ilvl w:val="1"/>
        <w:numId w:val="2"/>
      </w:numPr>
      <w:spacing w:before="200"/>
      <w:outlineLvl w:val="1"/>
    </w:pPr>
    <w:rPr>
      <w:b/>
      <w:bCs/>
      <w:sz w:val="32"/>
      <w:szCs w:val="32"/>
    </w:rPr>
  </w:style>
  <w:style w:type="paragraph" w:styleId="Heading3">
    <w:name w:val="heading 3"/>
    <w:basedOn w:val="berschrift"/>
    <w:next w:val="BodyText"/>
    <w:qFormat/>
    <w:pPr>
      <w:numPr>
        <w:ilvl w:val="2"/>
        <w:numId w:val="2"/>
      </w:numPr>
      <w:spacing w:before="140"/>
      <w:outlineLvl w:val="2"/>
    </w:pPr>
    <w:rPr>
      <w:b/>
      <w:bCs/>
      <w:color w:val="8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color w:val="000000"/>
      <w:spacing w:val="2"/>
      <w:lang w:val="en-GB"/>
    </w:rPr>
  </w:style>
  <w:style w:type="character" w:customStyle="1" w:styleId="WW8Num3z0">
    <w:name w:val="WW8Num3z0"/>
    <w:rPr>
      <w:rFonts w:ascii="Symbol" w:hAnsi="Symbol" w:cs="Symbol" w:hint="default"/>
      <w:color w:val="000000"/>
      <w:spacing w:val="2"/>
      <w:lang w:val="en-GB"/>
    </w:rPr>
  </w:style>
  <w:style w:type="character" w:customStyle="1" w:styleId="WW8Num4z0">
    <w:name w:val="WW8Num4z0"/>
    <w:rPr>
      <w:rFonts w:ascii="Symbol" w:eastAsia="Baskerville" w:hAnsi="Symbol" w:cs="Symbol" w:hint="default"/>
      <w:color w:val="000000"/>
      <w:spacing w:val="2"/>
      <w:lang w:val="en-GB"/>
    </w:rPr>
  </w:style>
  <w:style w:type="character" w:customStyle="1" w:styleId="WW8Num5z0">
    <w:name w:val="WW8Num5z0"/>
    <w:rPr>
      <w:rFonts w:ascii="Symbol" w:eastAsia="Baskerville" w:hAnsi="Symbol" w:cs="Symbol" w:hint="default"/>
      <w:color w:val="000000"/>
      <w:spacing w:val="2"/>
      <w:lang w:val="en-GB"/>
    </w:rPr>
  </w:style>
  <w:style w:type="character" w:customStyle="1" w:styleId="WW8Num6z0">
    <w:name w:val="WW8Num6z0"/>
    <w:rPr>
      <w:rFonts w:ascii="Symbol" w:hAnsi="Symbol" w:cs="Symbol" w:hint="default"/>
      <w:color w:val="000000"/>
      <w:spacing w:val="2"/>
      <w:lang w:val="en-GB"/>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rPr>
      <w:rFonts w:ascii="Symbol" w:eastAsia="Baskerville-Bold" w:hAnsi="Symbol" w:cs="Symbol" w:hint="default"/>
      <w:sz w:val="24"/>
      <w:szCs w:val="24"/>
    </w:rPr>
  </w:style>
  <w:style w:type="character" w:customStyle="1" w:styleId="WW8Num10z0">
    <w:name w:val="WW8Num10z0"/>
    <w:rPr>
      <w:rFonts w:ascii="Symbol" w:hAnsi="Symbol" w:cs="Symbol" w:hint="default"/>
    </w:rPr>
  </w:style>
  <w:style w:type="character" w:customStyle="1" w:styleId="WW8Num11z0">
    <w:name w:val="WW8Num11z0"/>
    <w:rPr>
      <w:rFonts w:ascii="Symbol" w:eastAsia="Baskerville-Bold" w:hAnsi="Symbol" w:cs="Symbol" w:hint="default"/>
      <w:sz w:val="24"/>
      <w:szCs w:val="24"/>
    </w:rPr>
  </w:style>
  <w:style w:type="character" w:customStyle="1" w:styleId="WW8Num12z0">
    <w:name w:val="WW8Num12z0"/>
    <w:rPr>
      <w:rFonts w:ascii="Symbol" w:eastAsia="Baskerville" w:hAnsi="Symbol" w:cs="Symbol" w:hint="default"/>
      <w:color w:val="000000"/>
      <w:spacing w:val="2"/>
      <w:lang w:val="en-GB"/>
    </w:rPr>
  </w:style>
  <w:style w:type="character" w:customStyle="1" w:styleId="WW8Num13z0">
    <w:name w:val="WW8Num13z0"/>
    <w:rPr>
      <w:rFonts w:ascii="Symbol" w:hAnsi="Symbol" w:cs="Symbol" w:hint="default"/>
      <w:color w:val="000000"/>
      <w:spacing w:val="2"/>
      <w:lang w:val="en-GB"/>
    </w:rPr>
  </w:style>
  <w:style w:type="character" w:customStyle="1" w:styleId="Absatz-Standardschriftart2">
    <w:name w:val="Absatz-Standardschriftart2"/>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4z0">
    <w:name w:val="WW8Num14z0"/>
    <w:rPr>
      <w:rFonts w:ascii="Symbol" w:eastAsia="Baskerville" w:hAnsi="Symbol" w:cs="Symbol" w:hint="default"/>
      <w:color w:val="000000"/>
      <w:spacing w:val="2"/>
      <w:lang w:val="en-GB"/>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Arial Unicode MS" w:eastAsia="Arial Unicode MS" w:hAnsi="Arial Unicode MS" w:cs="OpenSymbol"/>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ascii="Arial Unicode MS" w:eastAsia="Arial Unicode MS" w:hAnsi="Arial Unicode MS" w:cs="OpenSymbol"/>
    </w:rPr>
  </w:style>
  <w:style w:type="character" w:customStyle="1" w:styleId="WW8Num21z0">
    <w:name w:val="WW8Num21z0"/>
    <w:rPr>
      <w:rFonts w:ascii="Arial Unicode MS" w:eastAsia="Arial Unicode MS" w:hAnsi="Arial Unicode MS" w:cs="OpenSymbol"/>
    </w:rPr>
  </w:style>
  <w:style w:type="character" w:customStyle="1" w:styleId="WW8Num22z0">
    <w:name w:val="WW8Num22z0"/>
    <w:rPr>
      <w:rFonts w:ascii="Arial Unicode MS" w:eastAsia="Arial Unicode MS" w:hAnsi="Arial Unicode MS" w:cs="OpenSymbol"/>
    </w:rPr>
  </w:style>
  <w:style w:type="character" w:customStyle="1" w:styleId="WW8Num23z0">
    <w:name w:val="WW8Num23z0"/>
    <w:rPr>
      <w:rFonts w:ascii="Arial Unicode MS" w:eastAsia="Arial Unicode MS" w:hAnsi="Arial Unicode MS" w:cs="OpenSymbol"/>
    </w:rPr>
  </w:style>
  <w:style w:type="character" w:customStyle="1" w:styleId="WW8Num24z0">
    <w:name w:val="WW8Num24z0"/>
    <w:rPr>
      <w:rFonts w:ascii="Arial Unicode MS" w:eastAsia="Arial Unicode MS" w:hAnsi="Arial Unicode MS" w:cs="OpenSymbol"/>
    </w:rPr>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ascii="Arial Unicode MS" w:eastAsia="Arial Unicode MS" w:hAnsi="Arial Unicode MS" w:cs="OpenSymbol"/>
    </w:rPr>
  </w:style>
  <w:style w:type="character" w:customStyle="1" w:styleId="WW8Num27z0">
    <w:name w:val="WW8Num27z0"/>
    <w:rPr>
      <w:rFonts w:ascii="Symbol" w:eastAsia="Baskerville" w:hAnsi="Symbol" w:cs="Symbol" w:hint="default"/>
      <w:color w:val="000000"/>
      <w:spacing w:val="2"/>
      <w:lang w:val="en-GB"/>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8z0">
    <w:name w:val="WW8Num28z0"/>
    <w:rPr>
      <w:rFonts w:ascii="Arial Unicode MS" w:eastAsia="Arial Unicode MS" w:hAnsi="Arial Unicode MS" w:cs="OpenSymbol"/>
    </w:rPr>
  </w:style>
  <w:style w:type="character" w:customStyle="1" w:styleId="WW8Num29z0">
    <w:name w:val="WW8Num29z0"/>
    <w:rPr>
      <w:rFonts w:ascii="Symbol" w:eastAsia="Baskerville" w:hAnsi="Symbol" w:cs="Symbol" w:hint="default"/>
      <w:color w:val="000000"/>
      <w:spacing w:val="2"/>
      <w:lang w:val="en-GB"/>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Absatz-Standardschriftart1">
    <w:name w:val="Absatz-Standardschriftart1"/>
  </w:style>
  <w:style w:type="character" w:customStyle="1" w:styleId="url">
    <w:name w:val="url"/>
    <w:rPr>
      <w:color w:val="394B96"/>
      <w:u w:val="thick"/>
      <w14:textOutline w14:w="0" w14:cap="rnd" w14:cmpd="sng" w14:algn="ctr">
        <w14:noFill/>
        <w14:prstDash w14:val="solid"/>
        <w14:bevel/>
      </w14:textOutline>
    </w:rPr>
  </w:style>
  <w:style w:type="character" w:customStyle="1" w:styleId="verweis">
    <w:name w:val="verweis"/>
    <w:rPr>
      <w:rFonts w:ascii="Baskerville-SemiBold" w:eastAsia="Baskerville-SemiBold" w:hAnsi="Baskerville-SemiBold" w:cs="Baskerville-SemiBold"/>
      <w:b/>
      <w:bCs/>
      <w:i w:val="0"/>
      <w:iCs w:val="0"/>
      <w:color w:val="361A34"/>
      <w:lang w:val="en-GB"/>
      <w14:textOutline w14:w="0" w14:cap="rnd" w14:cmpd="sng" w14:algn="ctr">
        <w14:noFill/>
        <w14:prstDash w14:val="solid"/>
        <w14:bevel/>
      </w14:textOutline>
    </w:rPr>
  </w:style>
  <w:style w:type="character" w:customStyle="1" w:styleId="FootnoteSymbol">
    <w:name w:val="Footnote Symbol"/>
  </w:style>
  <w:style w:type="character" w:customStyle="1" w:styleId="Footnoteanchor">
    <w:name w:val="Footnote anchor"/>
    <w:rPr>
      <w:vertAlign w:val="superscript"/>
    </w:rPr>
  </w:style>
  <w:style w:type="character" w:customStyle="1" w:styleId="NumberingSymbols">
    <w:name w:val="Numbering Symbols"/>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BulletSymbols">
    <w:name w:val="Bullet Symbols"/>
    <w:rPr>
      <w:rFonts w:ascii="Arial Unicode MS" w:eastAsia="Arial Unicode MS" w:hAnsi="Arial Unicode MS" w:cs="OpenSymbol"/>
    </w:rPr>
  </w:style>
  <w:style w:type="character" w:customStyle="1" w:styleId="Funotenzeichen1">
    <w:name w:val="Fußnotenzeichen1"/>
    <w:rPr>
      <w:vertAlign w:val="superscript"/>
    </w:rPr>
  </w:style>
  <w:style w:type="character" w:customStyle="1" w:styleId="SprechblasentextZchn">
    <w:name w:val="Sprechblasentext Zchn"/>
    <w:rPr>
      <w:rFonts w:ascii="Tahoma" w:hAnsi="Tahoma" w:cs="Mangal"/>
      <w:sz w:val="16"/>
      <w:szCs w:val="14"/>
    </w:rPr>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customStyle="1" w:styleId="Funotenzeichen2">
    <w:name w:val="Fußnotenzeichen2"/>
    <w:rPr>
      <w:vertAlign w:val="superscript"/>
    </w:rPr>
  </w:style>
  <w:style w:type="character" w:customStyle="1" w:styleId="Endnotenzeichen2">
    <w:name w:val="Endnotenzeichen2"/>
    <w:rPr>
      <w:vertAlign w:val="superscript"/>
    </w:rPr>
  </w:style>
  <w:style w:type="character" w:customStyle="1" w:styleId="Endnotenzeichen1">
    <w:name w:val="Endnotenzeichen1"/>
  </w:style>
  <w:style w:type="character" w:customStyle="1" w:styleId="Nummerierungszeichen">
    <w:name w:val="Nummerierungszeichen"/>
  </w:style>
  <w:style w:type="character" w:customStyle="1" w:styleId="KopfzeileZchn">
    <w:name w:val="Kopfzeile Zchn"/>
    <w:rPr>
      <w:rFonts w:eastAsia="Arial Unicode MS" w:cs="Mangal"/>
      <w:kern w:val="1"/>
      <w:sz w:val="24"/>
      <w:szCs w:val="21"/>
      <w:lang w:eastAsia="zh-CN" w:bidi="hi-IN"/>
    </w:rPr>
  </w:style>
  <w:style w:type="character" w:customStyle="1" w:styleId="FuzeileZchn">
    <w:name w:val="Fußzeile Zchn"/>
    <w:rPr>
      <w:rFonts w:eastAsia="Arial Unicode MS" w:cs="Mangal"/>
      <w:kern w:val="1"/>
      <w:sz w:val="24"/>
      <w:szCs w:val="21"/>
      <w:lang w:eastAsia="zh-CN" w:bidi="hi-IN"/>
    </w:rPr>
  </w:style>
  <w:style w:type="character" w:styleId="FootnoteReference">
    <w:name w:val="footnote reference"/>
    <w:rPr>
      <w:vertAlign w:val="superscript"/>
    </w:rPr>
  </w:style>
  <w:style w:type="character" w:styleId="EndnoteReference">
    <w:name w:val="endnote reference"/>
    <w:rPr>
      <w:vertAlign w:val="superscript"/>
    </w:rPr>
  </w:style>
  <w:style w:type="paragraph" w:customStyle="1" w:styleId="berschrift">
    <w:name w:val="Überschrift"/>
    <w:basedOn w:val="Normal"/>
    <w:next w:val="BodyText"/>
    <w:pPr>
      <w:keepNext/>
      <w:spacing w:before="240" w:after="120"/>
    </w:pPr>
    <w:rPr>
      <w:rFonts w:ascii="Arial" w:hAnsi="Arial"/>
      <w:sz w:val="28"/>
      <w:szCs w:val="28"/>
    </w:rPr>
  </w:style>
  <w:style w:type="paragraph" w:styleId="BodyText">
    <w:name w:val="Body Text"/>
    <w:basedOn w:val="Normal"/>
    <w:link w:val="BodyTextChar"/>
    <w:pPr>
      <w:spacing w:after="140" w:line="288" w:lineRule="auto"/>
    </w:pPr>
  </w:style>
  <w:style w:type="paragraph" w:styleId="List">
    <w:name w:val="List"/>
    <w:basedOn w:val="Textbody"/>
  </w:style>
  <w:style w:type="paragraph" w:styleId="Caption">
    <w:name w:val="caption"/>
    <w:basedOn w:val="Normal"/>
    <w:qFormat/>
    <w:pPr>
      <w:suppressLineNumbers/>
      <w:spacing w:before="120" w:after="120"/>
    </w:pPr>
    <w:rPr>
      <w:i/>
      <w:iCs/>
    </w:rPr>
  </w:style>
  <w:style w:type="paragraph" w:customStyle="1" w:styleId="Verzeichnis">
    <w:name w:val="Verzeichnis"/>
    <w:basedOn w:val="Normal"/>
    <w:pPr>
      <w:suppressLineNumbers/>
    </w:pPr>
    <w:rPr>
      <w:rFonts w:cs="Times New Roman"/>
    </w:rPr>
  </w:style>
  <w:style w:type="paragraph" w:customStyle="1" w:styleId="Textbody">
    <w:name w:val="Text body"/>
    <w:basedOn w:val="Normal"/>
    <w:pPr>
      <w:spacing w:after="120"/>
    </w:pPr>
  </w:style>
  <w:style w:type="paragraph" w:customStyle="1" w:styleId="Heading">
    <w:name w:val="Heading"/>
    <w:basedOn w:val="Normal"/>
    <w:next w:val="Textbody"/>
    <w:pPr>
      <w:keepNext/>
      <w:spacing w:before="240" w:after="120"/>
    </w:pPr>
    <w:rPr>
      <w:rFonts w:ascii="Arial" w:hAnsi="Arial" w:cs="Arial"/>
      <w:sz w:val="28"/>
      <w:szCs w:val="28"/>
    </w:rPr>
  </w:style>
  <w:style w:type="paragraph" w:customStyle="1" w:styleId="Index">
    <w:name w:val="Index"/>
    <w:basedOn w:val="Normal"/>
    <w:pPr>
      <w:suppressLineNumbers/>
    </w:pPr>
  </w:style>
  <w:style w:type="paragraph" w:customStyle="1" w:styleId="KeinAbsatzformat">
    <w:name w:val="[Kein Absatzformat]"/>
    <w:pPr>
      <w:widowControl w:val="0"/>
      <w:suppressAutoHyphens/>
      <w:autoSpaceDE w:val="0"/>
      <w:spacing w:line="288" w:lineRule="auto"/>
      <w:textAlignment w:val="center"/>
    </w:pPr>
    <w:rPr>
      <w:rFonts w:ascii="Arial" w:eastAsia="Arial" w:hAnsi="Arial" w:cs="MinionPro-Regular"/>
      <w:color w:val="000000"/>
      <w:kern w:val="1"/>
      <w:sz w:val="24"/>
      <w:szCs w:val="24"/>
      <w:lang w:eastAsia="zh-CN" w:bidi="hi-IN"/>
    </w:rPr>
  </w:style>
  <w:style w:type="paragraph" w:customStyle="1" w:styleId="EinfacherAbsatz">
    <w:name w:val="[Einfacher Absatz]"/>
    <w:basedOn w:val="KeinAbsatzformat"/>
  </w:style>
  <w:style w:type="paragraph" w:customStyle="1" w:styleId="Text">
    <w:name w:val="Text"/>
    <w:basedOn w:val="Caption"/>
  </w:style>
  <w:style w:type="paragraph" w:customStyle="1" w:styleId="Title1">
    <w:name w:val="Title 1"/>
    <w:basedOn w:val="Text"/>
    <w:autoRedefine/>
    <w:rsid w:val="00C31717"/>
    <w:pPr>
      <w:pageBreakBefore/>
    </w:pPr>
    <w:rPr>
      <w:rFonts w:ascii="Arial" w:eastAsia="Helvetica-Bold" w:hAnsi="Arial" w:cs="Helvetica-Bold"/>
      <w:b/>
      <w:bCs/>
      <w:i w:val="0"/>
      <w:color w:val="5E175E"/>
      <w:spacing w:val="3"/>
      <w:kern w:val="28"/>
      <w:sz w:val="28"/>
      <w:szCs w:val="28"/>
    </w:rPr>
  </w:style>
  <w:style w:type="paragraph" w:customStyle="1" w:styleId="Title2">
    <w:name w:val="Title 2"/>
    <w:basedOn w:val="Text"/>
    <w:autoRedefine/>
    <w:rsid w:val="0093535A"/>
    <w:pPr>
      <w:autoSpaceDE w:val="0"/>
      <w:spacing w:before="0" w:after="113" w:line="288" w:lineRule="atLeast"/>
      <w:textAlignment w:val="center"/>
    </w:pPr>
    <w:rPr>
      <w:rFonts w:ascii="Arial" w:eastAsia="Helvetica-Bold" w:hAnsi="Arial" w:cs="Arial"/>
      <w:b/>
      <w:bCs/>
      <w:i w:val="0"/>
      <w:color w:val="5E175E"/>
      <w:spacing w:val="2"/>
      <w:kern w:val="24"/>
      <w:szCs w:val="28"/>
      <w:lang w:val="en-GB"/>
    </w:rPr>
  </w:style>
  <w:style w:type="paragraph" w:customStyle="1" w:styleId="Title3">
    <w:name w:val="Title 3"/>
    <w:basedOn w:val="Title2"/>
    <w:autoRedefine/>
    <w:rsid w:val="0085791B"/>
    <w:pPr>
      <w:spacing w:before="28" w:after="85"/>
    </w:pPr>
    <w:rPr>
      <w:color w:val="232657"/>
      <w:szCs w:val="24"/>
    </w:rPr>
  </w:style>
  <w:style w:type="paragraph" w:customStyle="1" w:styleId="TextQuote">
    <w:name w:val="Text Quote"/>
    <w:basedOn w:val="KeinAbsatzformat"/>
    <w:pPr>
      <w:spacing w:after="57"/>
      <w:jc w:val="both"/>
    </w:pPr>
    <w:rPr>
      <w:rFonts w:ascii="Baskerville-Italic" w:eastAsia="Baskerville-Italic" w:hAnsi="Baskerville-Italic" w:cs="Baskerville-Italic"/>
      <w:i/>
      <w:iCs/>
      <w:spacing w:val="2"/>
      <w:sz w:val="22"/>
      <w:szCs w:val="22"/>
      <w:lang w:val="en-GB"/>
    </w:rPr>
  </w:style>
  <w:style w:type="paragraph" w:customStyle="1" w:styleId="Footnoteuser">
    <w:name w:val="Footnote (user)"/>
    <w:basedOn w:val="KeinAbsatzformat"/>
    <w:pPr>
      <w:ind w:left="454" w:hanging="450"/>
      <w:jc w:val="both"/>
    </w:pPr>
    <w:rPr>
      <w:rFonts w:ascii="Baskerville" w:eastAsia="Baskerville" w:hAnsi="Baskerville" w:cs="Baskerville"/>
      <w:spacing w:val="2"/>
      <w:sz w:val="22"/>
      <w:szCs w:val="22"/>
      <w:lang w:val="en-GB"/>
    </w:rPr>
  </w:style>
  <w:style w:type="paragraph" w:customStyle="1" w:styleId="Footnote">
    <w:name w:val="Footnote"/>
    <w:basedOn w:val="Normal"/>
    <w:pPr>
      <w:suppressLineNumbers/>
      <w:ind w:left="283" w:hanging="283"/>
    </w:pPr>
    <w:rPr>
      <w:sz w:val="20"/>
      <w:szCs w:val="20"/>
    </w:rPr>
  </w:style>
  <w:style w:type="paragraph" w:styleId="BalloonText">
    <w:name w:val="Balloon Text"/>
    <w:basedOn w:val="Normal"/>
    <w:rPr>
      <w:rFonts w:ascii="Tahoma" w:hAnsi="Tahoma" w:cs="Mangal"/>
      <w:sz w:val="16"/>
      <w:szCs w:val="14"/>
    </w:rPr>
  </w:style>
  <w:style w:type="paragraph" w:styleId="FootnoteText">
    <w:name w:val="footnote text"/>
    <w:basedOn w:val="Normal"/>
    <w:link w:val="FootnoteTextChar"/>
    <w:pPr>
      <w:suppressLineNumbers/>
      <w:ind w:left="339" w:hanging="339"/>
    </w:pPr>
    <w:rPr>
      <w:sz w:val="20"/>
      <w:szCs w:val="20"/>
    </w:rPr>
  </w:style>
  <w:style w:type="paragraph" w:styleId="Title">
    <w:name w:val="Title"/>
    <w:basedOn w:val="berschrift"/>
    <w:next w:val="BodyText"/>
    <w:qFormat/>
    <w:pPr>
      <w:jc w:val="center"/>
    </w:pPr>
    <w:rPr>
      <w:b/>
      <w:bCs/>
      <w:sz w:val="56"/>
      <w:szCs w:val="56"/>
    </w:rPr>
  </w:style>
  <w:style w:type="paragraph" w:styleId="Subtitle">
    <w:name w:val="Subtitle"/>
    <w:basedOn w:val="berschrift"/>
    <w:next w:val="BodyText"/>
    <w:qFormat/>
    <w:pPr>
      <w:spacing w:before="60"/>
      <w:jc w:val="center"/>
    </w:pPr>
    <w:rPr>
      <w:sz w:val="36"/>
      <w:szCs w:val="36"/>
    </w:rPr>
  </w:style>
  <w:style w:type="paragraph" w:styleId="Header">
    <w:name w:val="header"/>
    <w:basedOn w:val="Normal"/>
    <w:pPr>
      <w:tabs>
        <w:tab w:val="center" w:pos="4536"/>
        <w:tab w:val="right" w:pos="9072"/>
      </w:tabs>
    </w:pPr>
    <w:rPr>
      <w:rFonts w:cs="Mangal"/>
      <w:szCs w:val="21"/>
    </w:rPr>
  </w:style>
  <w:style w:type="paragraph" w:styleId="Footer">
    <w:name w:val="footer"/>
    <w:basedOn w:val="Normal"/>
    <w:uiPriority w:val="99"/>
    <w:pPr>
      <w:tabs>
        <w:tab w:val="center" w:pos="4536"/>
        <w:tab w:val="right" w:pos="9072"/>
      </w:tabs>
    </w:pPr>
    <w:rPr>
      <w:rFonts w:cs="Mangal"/>
      <w:szCs w:val="21"/>
    </w:rPr>
  </w:style>
  <w:style w:type="paragraph" w:customStyle="1" w:styleId="absatzschattenbericht">
    <w:name w:val="absatz schattenbericht"/>
    <w:basedOn w:val="KeinAbsatzformat"/>
    <w:autoRedefine/>
    <w:rsid w:val="00CE680A"/>
    <w:pPr>
      <w:spacing w:after="60"/>
      <w:jc w:val="both"/>
    </w:pPr>
    <w:rPr>
      <w:rFonts w:ascii="Times New Roman" w:eastAsia="Baskerville" w:hAnsi="Times New Roman" w:cs="Baskerville"/>
      <w:spacing w:val="2"/>
      <w:lang w:val="en-GB"/>
    </w:rPr>
  </w:style>
  <w:style w:type="paragraph" w:customStyle="1" w:styleId="titel0schattenbericht">
    <w:name w:val="titel0 schattenbericht"/>
    <w:basedOn w:val="absatzschattenbericht"/>
    <w:pPr>
      <w:jc w:val="left"/>
    </w:pPr>
    <w:rPr>
      <w:rFonts w:ascii="Helvetica-Bold" w:eastAsia="Helvetica-Bold" w:hAnsi="Helvetica-Bold" w:cs="Helvetica-Bold"/>
      <w:b/>
      <w:bCs/>
      <w:spacing w:val="3"/>
      <w:sz w:val="28"/>
      <w:szCs w:val="28"/>
    </w:rPr>
  </w:style>
  <w:style w:type="paragraph" w:customStyle="1" w:styleId="Quotations">
    <w:name w:val="Quotations"/>
    <w:basedOn w:val="Normal"/>
    <w:pPr>
      <w:spacing w:after="283"/>
      <w:ind w:left="567" w:right="567"/>
    </w:pPr>
  </w:style>
  <w:style w:type="paragraph" w:customStyle="1" w:styleId="fussnoteschattenbericht">
    <w:name w:val="fussnote schattenbericht"/>
    <w:basedOn w:val="Normal"/>
    <w:autoRedefine/>
    <w:rsid w:val="00E64E50"/>
    <w:pPr>
      <w:autoSpaceDE w:val="0"/>
      <w:spacing w:line="288" w:lineRule="auto"/>
      <w:ind w:left="454" w:hanging="450"/>
      <w:textAlignment w:val="center"/>
    </w:pPr>
    <w:rPr>
      <w:rFonts w:eastAsia="Baskerville" w:cs="Baskerville"/>
      <w:color w:val="000000"/>
      <w:spacing w:val="2"/>
      <w:sz w:val="20"/>
      <w:szCs w:val="20"/>
      <w:lang w:val="pt-BR"/>
    </w:rPr>
  </w:style>
  <w:style w:type="paragraph" w:customStyle="1" w:styleId="titel2schattenbericht">
    <w:name w:val="titel2 schattenbericht"/>
    <w:basedOn w:val="absatzschattenbericht"/>
    <w:rsid w:val="00F516CE"/>
    <w:pPr>
      <w:spacing w:line="288" w:lineRule="atLeast"/>
      <w:jc w:val="left"/>
    </w:pPr>
    <w:rPr>
      <w:rFonts w:ascii="Arial" w:eastAsia="Arial" w:hAnsi="Arial" w:cs="Arial-BoldMT"/>
      <w:b/>
      <w:bCs/>
      <w:sz w:val="23"/>
      <w:szCs w:val="23"/>
    </w:rPr>
  </w:style>
  <w:style w:type="character" w:customStyle="1" w:styleId="FootnoteTextChar">
    <w:name w:val="Footnote Text Char"/>
    <w:link w:val="FootnoteText"/>
    <w:rsid w:val="00537CB2"/>
    <w:rPr>
      <w:rFonts w:eastAsia="Arial Unicode MS" w:cs="Arial Unicode MS"/>
      <w:kern w:val="1"/>
      <w:lang w:eastAsia="zh-CN" w:bidi="hi-IN"/>
    </w:rPr>
  </w:style>
  <w:style w:type="paragraph" w:customStyle="1" w:styleId="titel3schattenbericht">
    <w:name w:val="titel3 schattenbericht"/>
    <w:basedOn w:val="titel2schattenbericht"/>
    <w:rsid w:val="00B02E43"/>
    <w:pPr>
      <w:spacing w:before="28" w:after="85"/>
    </w:pPr>
    <w:rPr>
      <w:color w:val="232657"/>
      <w:sz w:val="22"/>
      <w:szCs w:val="22"/>
      <w:lang w:eastAsia="hi-IN"/>
    </w:rPr>
  </w:style>
  <w:style w:type="paragraph" w:styleId="TOC1">
    <w:name w:val="toc 1"/>
    <w:basedOn w:val="Normal"/>
    <w:next w:val="Normal"/>
    <w:autoRedefine/>
    <w:uiPriority w:val="39"/>
    <w:unhideWhenUsed/>
    <w:rsid w:val="00627882"/>
    <w:pPr>
      <w:tabs>
        <w:tab w:val="right" w:leader="dot" w:pos="9628"/>
      </w:tabs>
    </w:pPr>
    <w:rPr>
      <w:rFonts w:cs="Mangal"/>
      <w:b/>
      <w:noProof/>
      <w:sz w:val="28"/>
      <w:szCs w:val="28"/>
      <w:lang w:val="en-US"/>
    </w:rPr>
  </w:style>
  <w:style w:type="paragraph" w:styleId="TOC2">
    <w:name w:val="toc 2"/>
    <w:basedOn w:val="Normal"/>
    <w:next w:val="Normal"/>
    <w:autoRedefine/>
    <w:uiPriority w:val="39"/>
    <w:unhideWhenUsed/>
    <w:rsid w:val="007F0AF1"/>
    <w:pPr>
      <w:ind w:left="240"/>
    </w:pPr>
    <w:rPr>
      <w:rFonts w:cs="Mangal"/>
      <w:szCs w:val="21"/>
    </w:rPr>
  </w:style>
  <w:style w:type="paragraph" w:styleId="TOC3">
    <w:name w:val="toc 3"/>
    <w:basedOn w:val="Normal"/>
    <w:next w:val="Normal"/>
    <w:autoRedefine/>
    <w:uiPriority w:val="39"/>
    <w:unhideWhenUsed/>
    <w:rsid w:val="007F0AF1"/>
    <w:pPr>
      <w:ind w:left="480"/>
    </w:pPr>
    <w:rPr>
      <w:rFonts w:cs="Mangal"/>
      <w:szCs w:val="21"/>
    </w:rPr>
  </w:style>
  <w:style w:type="character" w:customStyle="1" w:styleId="A4">
    <w:name w:val="A4"/>
    <w:rsid w:val="00B340CD"/>
    <w:rPr>
      <w:rFonts w:ascii="Baskerville" w:eastAsia="Baskerville" w:hAnsi="Baskerville" w:cs="Baskerville"/>
      <w:b/>
      <w:bCs/>
      <w:color w:val="000000"/>
      <w:sz w:val="28"/>
      <w:szCs w:val="28"/>
    </w:rPr>
  </w:style>
  <w:style w:type="character" w:customStyle="1" w:styleId="UnresolvedMention">
    <w:name w:val="Unresolved Mention"/>
    <w:basedOn w:val="DefaultParagraphFont"/>
    <w:uiPriority w:val="99"/>
    <w:semiHidden/>
    <w:unhideWhenUsed/>
    <w:rsid w:val="004E1DF1"/>
    <w:rPr>
      <w:color w:val="605E5C"/>
      <w:shd w:val="clear" w:color="auto" w:fill="E1DFDD"/>
    </w:rPr>
  </w:style>
  <w:style w:type="paragraph" w:customStyle="1" w:styleId="SingleTxt">
    <w:name w:val="__Single Txt"/>
    <w:basedOn w:val="Normal"/>
    <w:rsid w:val="004E1DF1"/>
    <w:pPr>
      <w:widowControl/>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atLeast"/>
      <w:ind w:left="1267" w:right="1267"/>
      <w:jc w:val="both"/>
      <w:textAlignment w:val="auto"/>
    </w:pPr>
    <w:rPr>
      <w:rFonts w:eastAsiaTheme="minorHAnsi" w:cs="Times New Roman"/>
      <w:spacing w:val="4"/>
      <w:w w:val="103"/>
      <w:kern w:val="14"/>
      <w:sz w:val="20"/>
      <w:szCs w:val="20"/>
      <w:lang w:val="en-GB" w:eastAsia="en-US" w:bidi="ar-SA"/>
    </w:rPr>
  </w:style>
  <w:style w:type="paragraph" w:customStyle="1" w:styleId="H1">
    <w:name w:val="_ H_1"/>
    <w:basedOn w:val="Normal"/>
    <w:next w:val="Normal"/>
    <w:rsid w:val="00FE42BA"/>
    <w:pPr>
      <w:keepNext/>
      <w:keepLines/>
      <w:widowControl/>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textAlignment w:val="auto"/>
      <w:outlineLvl w:val="0"/>
    </w:pPr>
    <w:rPr>
      <w:rFonts w:eastAsiaTheme="minorHAnsi" w:cs="Times New Roman"/>
      <w:b/>
      <w:spacing w:val="4"/>
      <w:w w:val="103"/>
      <w:kern w:val="14"/>
      <w:szCs w:val="20"/>
      <w:lang w:val="en-GB" w:eastAsia="en-US" w:bidi="ar-SA"/>
    </w:rPr>
  </w:style>
  <w:style w:type="character" w:customStyle="1" w:styleId="BodyTextChar">
    <w:name w:val="Body Text Char"/>
    <w:link w:val="BodyText"/>
    <w:rsid w:val="00550582"/>
    <w:rPr>
      <w:rFonts w:eastAsia="Arial Unicode MS" w:cs="Arial Unicode MS"/>
      <w:kern w:val="1"/>
      <w:sz w:val="24"/>
      <w:szCs w:val="24"/>
      <w:lang w:val="de-CH"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30658">
      <w:bodyDiv w:val="1"/>
      <w:marLeft w:val="0"/>
      <w:marRight w:val="0"/>
      <w:marTop w:val="0"/>
      <w:marBottom w:val="0"/>
      <w:divBdr>
        <w:top w:val="none" w:sz="0" w:space="0" w:color="auto"/>
        <w:left w:val="none" w:sz="0" w:space="0" w:color="auto"/>
        <w:bottom w:val="none" w:sz="0" w:space="0" w:color="auto"/>
        <w:right w:val="none" w:sz="0" w:space="0" w:color="auto"/>
      </w:divBdr>
      <w:divsChild>
        <w:div w:id="553272295">
          <w:marLeft w:val="0"/>
          <w:marRight w:val="0"/>
          <w:marTop w:val="0"/>
          <w:marBottom w:val="0"/>
          <w:divBdr>
            <w:top w:val="none" w:sz="0" w:space="0" w:color="auto"/>
            <w:left w:val="none" w:sz="0" w:space="0" w:color="auto"/>
            <w:bottom w:val="none" w:sz="0" w:space="0" w:color="auto"/>
            <w:right w:val="none" w:sz="0" w:space="0" w:color="auto"/>
          </w:divBdr>
          <w:divsChild>
            <w:div w:id="965504866">
              <w:marLeft w:val="0"/>
              <w:marRight w:val="0"/>
              <w:marTop w:val="0"/>
              <w:marBottom w:val="0"/>
              <w:divBdr>
                <w:top w:val="none" w:sz="0" w:space="0" w:color="auto"/>
                <w:left w:val="none" w:sz="0" w:space="0" w:color="auto"/>
                <w:bottom w:val="none" w:sz="0" w:space="0" w:color="auto"/>
                <w:right w:val="none" w:sz="0" w:space="0" w:color="auto"/>
              </w:divBdr>
              <w:divsChild>
                <w:div w:id="17953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09632">
      <w:bodyDiv w:val="1"/>
      <w:marLeft w:val="0"/>
      <w:marRight w:val="0"/>
      <w:marTop w:val="0"/>
      <w:marBottom w:val="0"/>
      <w:divBdr>
        <w:top w:val="none" w:sz="0" w:space="0" w:color="auto"/>
        <w:left w:val="none" w:sz="0" w:space="0" w:color="auto"/>
        <w:bottom w:val="none" w:sz="0" w:space="0" w:color="auto"/>
        <w:right w:val="none" w:sz="0" w:space="0" w:color="auto"/>
      </w:divBdr>
    </w:div>
    <w:div w:id="659620851">
      <w:bodyDiv w:val="1"/>
      <w:marLeft w:val="0"/>
      <w:marRight w:val="0"/>
      <w:marTop w:val="0"/>
      <w:marBottom w:val="0"/>
      <w:divBdr>
        <w:top w:val="none" w:sz="0" w:space="0" w:color="auto"/>
        <w:left w:val="none" w:sz="0" w:space="0" w:color="auto"/>
        <w:bottom w:val="none" w:sz="0" w:space="0" w:color="auto"/>
        <w:right w:val="none" w:sz="0" w:space="0" w:color="auto"/>
      </w:divBdr>
    </w:div>
    <w:div w:id="1058817062">
      <w:bodyDiv w:val="1"/>
      <w:marLeft w:val="0"/>
      <w:marRight w:val="0"/>
      <w:marTop w:val="0"/>
      <w:marBottom w:val="0"/>
      <w:divBdr>
        <w:top w:val="none" w:sz="0" w:space="0" w:color="auto"/>
        <w:left w:val="none" w:sz="0" w:space="0" w:color="auto"/>
        <w:bottom w:val="none" w:sz="0" w:space="0" w:color="auto"/>
        <w:right w:val="none" w:sz="0" w:space="0" w:color="auto"/>
      </w:divBdr>
    </w:div>
    <w:div w:id="1232883372">
      <w:bodyDiv w:val="1"/>
      <w:marLeft w:val="0"/>
      <w:marRight w:val="0"/>
      <w:marTop w:val="0"/>
      <w:marBottom w:val="0"/>
      <w:divBdr>
        <w:top w:val="none" w:sz="0" w:space="0" w:color="auto"/>
        <w:left w:val="none" w:sz="0" w:space="0" w:color="auto"/>
        <w:bottom w:val="none" w:sz="0" w:space="0" w:color="auto"/>
        <w:right w:val="none" w:sz="0" w:space="0" w:color="auto"/>
      </w:divBdr>
    </w:div>
    <w:div w:id="1286934108">
      <w:bodyDiv w:val="1"/>
      <w:marLeft w:val="0"/>
      <w:marRight w:val="0"/>
      <w:marTop w:val="0"/>
      <w:marBottom w:val="0"/>
      <w:divBdr>
        <w:top w:val="none" w:sz="0" w:space="0" w:color="auto"/>
        <w:left w:val="none" w:sz="0" w:space="0" w:color="auto"/>
        <w:bottom w:val="none" w:sz="0" w:space="0" w:color="auto"/>
        <w:right w:val="none" w:sz="0" w:space="0" w:color="auto"/>
      </w:divBdr>
      <w:divsChild>
        <w:div w:id="1113089140">
          <w:marLeft w:val="0"/>
          <w:marRight w:val="0"/>
          <w:marTop w:val="0"/>
          <w:marBottom w:val="0"/>
          <w:divBdr>
            <w:top w:val="none" w:sz="0" w:space="0" w:color="auto"/>
            <w:left w:val="none" w:sz="0" w:space="0" w:color="auto"/>
            <w:bottom w:val="none" w:sz="0" w:space="0" w:color="auto"/>
            <w:right w:val="none" w:sz="0" w:space="0" w:color="auto"/>
          </w:divBdr>
        </w:div>
        <w:div w:id="1245259791">
          <w:marLeft w:val="0"/>
          <w:marRight w:val="0"/>
          <w:marTop w:val="0"/>
          <w:marBottom w:val="0"/>
          <w:divBdr>
            <w:top w:val="none" w:sz="0" w:space="0" w:color="auto"/>
            <w:left w:val="none" w:sz="0" w:space="0" w:color="auto"/>
            <w:bottom w:val="none" w:sz="0" w:space="0" w:color="auto"/>
            <w:right w:val="none" w:sz="0" w:space="0" w:color="auto"/>
          </w:divBdr>
        </w:div>
        <w:div w:id="1626962080">
          <w:marLeft w:val="0"/>
          <w:marRight w:val="0"/>
          <w:marTop w:val="0"/>
          <w:marBottom w:val="0"/>
          <w:divBdr>
            <w:top w:val="none" w:sz="0" w:space="0" w:color="auto"/>
            <w:left w:val="none" w:sz="0" w:space="0" w:color="auto"/>
            <w:bottom w:val="none" w:sz="0" w:space="0" w:color="auto"/>
            <w:right w:val="none" w:sz="0" w:space="0" w:color="auto"/>
          </w:divBdr>
        </w:div>
      </w:divsChild>
    </w:div>
    <w:div w:id="1457329783">
      <w:bodyDiv w:val="1"/>
      <w:marLeft w:val="0"/>
      <w:marRight w:val="0"/>
      <w:marTop w:val="0"/>
      <w:marBottom w:val="0"/>
      <w:divBdr>
        <w:top w:val="none" w:sz="0" w:space="0" w:color="auto"/>
        <w:left w:val="none" w:sz="0" w:space="0" w:color="auto"/>
        <w:bottom w:val="none" w:sz="0" w:space="0" w:color="auto"/>
        <w:right w:val="none" w:sz="0" w:space="0" w:color="auto"/>
      </w:divBdr>
    </w:div>
    <w:div w:id="1799763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intersex.shadowreport.org/public/2018-CEDAW-Austria-NGO-Zwischengeschlecht-Intersex-IGM.docx"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sex.shadowreport.org/public/2018-CEDAW-Austria-NGO-Zwischengeschlecht-Intersex-IGM.pdf"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customXml" Target="../customXml/item4.xml"/><Relationship Id="rId10" Type="http://schemas.openxmlformats.org/officeDocument/2006/relationships/hyperlink" Target="http://stop.genitalmutilation.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Zwischengeschlecht.org/"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customXml" Target="../customXml/item3.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8" Type="http://schemas.openxmlformats.org/officeDocument/2006/relationships/hyperlink" Target="http://stop.genitalmutilation.org/post/IAD-2016-Soon-20-UN-Reprimands-for-Intersex-Genital-Mutilations" TargetMode="External"/><Relationship Id="rId13" Type="http://schemas.openxmlformats.org/officeDocument/2006/relationships/hyperlink" Target="http://intersex.shadowreport.org/public/CEDAW73-Austria-Intersex-NGO-Statement-Daniela-Truffer.pdf" TargetMode="External"/><Relationship Id="rId3" Type="http://schemas.openxmlformats.org/officeDocument/2006/relationships/hyperlink" Target="http://zwischengeschlecht.org/post/Statuten" TargetMode="External"/><Relationship Id="rId7" Type="http://schemas.openxmlformats.org/officeDocument/2006/relationships/hyperlink" Target="http://intersex.shadowreport.org/public/2015-CAT-Austria-VIMOE-Zwischengeschlecht-Intersex-IGM.pdf" TargetMode="External"/><Relationship Id="rId12" Type="http://schemas.openxmlformats.org/officeDocument/2006/relationships/hyperlink" Target="https://www.vfgh.gv.at/downloads/VfGH_Entscheidung_G_77-2018_unbestimmtes_Geschlecht_anonym.pdf" TargetMode="External"/><Relationship Id="rId2" Type="http://schemas.openxmlformats.org/officeDocument/2006/relationships/hyperlink" Target="http://stop.genitalmutilation.org" TargetMode="External"/><Relationship Id="rId1" Type="http://schemas.openxmlformats.org/officeDocument/2006/relationships/hyperlink" Target="http://Zwischengeschlecht.org/" TargetMode="External"/><Relationship Id="rId6" Type="http://schemas.openxmlformats.org/officeDocument/2006/relationships/hyperlink" Target="http://intersex.shadowreport.org/public/2018-CEDAW-LOI-Austria-NGO-Zwischengeschlecht-Intersex-IGM.pdf" TargetMode="External"/><Relationship Id="rId11" Type="http://schemas.openxmlformats.org/officeDocument/2006/relationships/hyperlink" Target="http://intersex.shadowreport.org/public/CEDAW73-Austria-Intersex-NGO-Statement-Daniela-Truffer.pdf" TargetMode="External"/><Relationship Id="rId5" Type="http://schemas.openxmlformats.org/officeDocument/2006/relationships/hyperlink" Target="http://stop.genitalmutilation.org/post/IAD-2016-Soon-20-UN-Reprimands-for-Intersex-Genital-Mutilations" TargetMode="External"/><Relationship Id="rId15" Type="http://schemas.openxmlformats.org/officeDocument/2006/relationships/hyperlink" Target="https://fm4.orf.at/stories/2875989/" TargetMode="External"/><Relationship Id="rId10" Type="http://schemas.openxmlformats.org/officeDocument/2006/relationships/hyperlink" Target="http://intersex.shadowreport.org/public/CEDAW73-PSWG-Austria-Written-Answers-NGO-StopIGM_web.pdf" TargetMode="External"/><Relationship Id="rId4" Type="http://schemas.openxmlformats.org/officeDocument/2006/relationships/hyperlink" Target="http://intersex.shadowreport.org" TargetMode="External"/><Relationship Id="rId9" Type="http://schemas.openxmlformats.org/officeDocument/2006/relationships/hyperlink" Target="http://StopIGM.org/public/S3_Zwischengeschlecht_UN-Expert-Meeting-2015_web.pdf" TargetMode="External"/><Relationship Id="rId14" Type="http://schemas.openxmlformats.org/officeDocument/2006/relationships/hyperlink" Target="http://intersex.shadowreport.org/public/CEDAW73-PSWG-Austria-Written-Answers-NGO-StopIGM_web.pdf"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4CB51DEAB7BC84380640E7EED41B40D" ma:contentTypeVersion="0" ma:contentTypeDescription="Create a new document." ma:contentTypeScope="" ma:versionID="ec9062e62ff72b96088b5523939f468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2516FC-F9E5-44DB-9261-6D7C3EAAC74B}">
  <ds:schemaRefs>
    <ds:schemaRef ds:uri="http://schemas.openxmlformats.org/officeDocument/2006/bibliography"/>
  </ds:schemaRefs>
</ds:datastoreItem>
</file>

<file path=customXml/itemProps2.xml><?xml version="1.0" encoding="utf-8"?>
<ds:datastoreItem xmlns:ds="http://schemas.openxmlformats.org/officeDocument/2006/customXml" ds:itemID="{837F3FF9-2142-4B47-B922-A54CF4FB392C}"/>
</file>

<file path=customXml/itemProps3.xml><?xml version="1.0" encoding="utf-8"?>
<ds:datastoreItem xmlns:ds="http://schemas.openxmlformats.org/officeDocument/2006/customXml" ds:itemID="{8FB99611-DA06-4A46-84DD-4FF9D3D4BFE3}"/>
</file>

<file path=customXml/itemProps4.xml><?xml version="1.0" encoding="utf-8"?>
<ds:datastoreItem xmlns:ds="http://schemas.openxmlformats.org/officeDocument/2006/customXml" ds:itemID="{EE70110A-C655-4E16-ADAD-EA74F8C8F2D5}"/>
</file>

<file path=docProps/app.xml><?xml version="1.0" encoding="utf-8"?>
<Properties xmlns="http://schemas.openxmlformats.org/officeDocument/2006/extended-properties" xmlns:vt="http://schemas.openxmlformats.org/officeDocument/2006/docPropsVTypes">
  <Template>Normal.dotm</Template>
  <TotalTime>1</TotalTime>
  <Pages>21</Pages>
  <Words>5790</Words>
  <Characters>30981</Characters>
  <Application>Microsoft Office Word</Application>
  <DocSecurity>4</DocSecurity>
  <Lines>563</Lines>
  <Paragraphs>122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Intersex Genital Mutilations - CEDAW Austria LOI NGO Report 2018</vt:lpstr>
      <vt:lpstr>Intersex Genital Mutilations - CEDAW Austria LOI NGO Report 2018</vt:lpstr>
    </vt:vector>
  </TitlesOfParts>
  <Company>Microsoft</Company>
  <LinksUpToDate>false</LinksUpToDate>
  <CharactersWithSpaces>36649</CharactersWithSpaces>
  <SharedDoc>false</SharedDoc>
  <HyperlinkBase/>
  <HLinks>
    <vt:vector size="372" baseType="variant">
      <vt:variant>
        <vt:i4>983124</vt:i4>
      </vt:variant>
      <vt:variant>
        <vt:i4>165</vt:i4>
      </vt:variant>
      <vt:variant>
        <vt:i4>0</vt:i4>
      </vt:variant>
      <vt:variant>
        <vt:i4>5</vt:i4>
      </vt:variant>
      <vt:variant>
        <vt:lpwstr>http://www.vlsp.de/files/pdf/kraemer2016.pdf</vt:lpwstr>
      </vt:variant>
      <vt:variant>
        <vt:lpwstr/>
      </vt:variant>
      <vt:variant>
        <vt:i4>5046384</vt:i4>
      </vt:variant>
      <vt:variant>
        <vt:i4>162</vt:i4>
      </vt:variant>
      <vt:variant>
        <vt:i4>0</vt:i4>
      </vt:variant>
      <vt:variant>
        <vt:i4>5</vt:i4>
      </vt:variant>
      <vt:variant>
        <vt:lpwstr>https://www.gender.hu-berlin.de/de/publikationen/gender-bulletins/texte-42/kloeppel-2016_zur-aktualitaet-kosmetischer-genitaloperationen</vt:lpwstr>
      </vt:variant>
      <vt:variant>
        <vt:lpwstr/>
      </vt:variant>
      <vt:variant>
        <vt:i4>1572926</vt:i4>
      </vt:variant>
      <vt:variant>
        <vt:i4>155</vt:i4>
      </vt:variant>
      <vt:variant>
        <vt:i4>0</vt:i4>
      </vt:variant>
      <vt:variant>
        <vt:i4>5</vt:i4>
      </vt:variant>
      <vt:variant>
        <vt:lpwstr/>
      </vt:variant>
      <vt:variant>
        <vt:lpwstr>_Toc472718971</vt:lpwstr>
      </vt:variant>
      <vt:variant>
        <vt:i4>1572926</vt:i4>
      </vt:variant>
      <vt:variant>
        <vt:i4>149</vt:i4>
      </vt:variant>
      <vt:variant>
        <vt:i4>0</vt:i4>
      </vt:variant>
      <vt:variant>
        <vt:i4>5</vt:i4>
      </vt:variant>
      <vt:variant>
        <vt:lpwstr/>
      </vt:variant>
      <vt:variant>
        <vt:lpwstr>_Toc472718970</vt:lpwstr>
      </vt:variant>
      <vt:variant>
        <vt:i4>1638462</vt:i4>
      </vt:variant>
      <vt:variant>
        <vt:i4>143</vt:i4>
      </vt:variant>
      <vt:variant>
        <vt:i4>0</vt:i4>
      </vt:variant>
      <vt:variant>
        <vt:i4>5</vt:i4>
      </vt:variant>
      <vt:variant>
        <vt:lpwstr/>
      </vt:variant>
      <vt:variant>
        <vt:lpwstr>_Toc472718969</vt:lpwstr>
      </vt:variant>
      <vt:variant>
        <vt:i4>1638462</vt:i4>
      </vt:variant>
      <vt:variant>
        <vt:i4>137</vt:i4>
      </vt:variant>
      <vt:variant>
        <vt:i4>0</vt:i4>
      </vt:variant>
      <vt:variant>
        <vt:i4>5</vt:i4>
      </vt:variant>
      <vt:variant>
        <vt:lpwstr/>
      </vt:variant>
      <vt:variant>
        <vt:lpwstr>_Toc472718968</vt:lpwstr>
      </vt:variant>
      <vt:variant>
        <vt:i4>1638462</vt:i4>
      </vt:variant>
      <vt:variant>
        <vt:i4>131</vt:i4>
      </vt:variant>
      <vt:variant>
        <vt:i4>0</vt:i4>
      </vt:variant>
      <vt:variant>
        <vt:i4>5</vt:i4>
      </vt:variant>
      <vt:variant>
        <vt:lpwstr/>
      </vt:variant>
      <vt:variant>
        <vt:lpwstr>_Toc472718967</vt:lpwstr>
      </vt:variant>
      <vt:variant>
        <vt:i4>1638462</vt:i4>
      </vt:variant>
      <vt:variant>
        <vt:i4>125</vt:i4>
      </vt:variant>
      <vt:variant>
        <vt:i4>0</vt:i4>
      </vt:variant>
      <vt:variant>
        <vt:i4>5</vt:i4>
      </vt:variant>
      <vt:variant>
        <vt:lpwstr/>
      </vt:variant>
      <vt:variant>
        <vt:lpwstr>_Toc472718966</vt:lpwstr>
      </vt:variant>
      <vt:variant>
        <vt:i4>1638462</vt:i4>
      </vt:variant>
      <vt:variant>
        <vt:i4>119</vt:i4>
      </vt:variant>
      <vt:variant>
        <vt:i4>0</vt:i4>
      </vt:variant>
      <vt:variant>
        <vt:i4>5</vt:i4>
      </vt:variant>
      <vt:variant>
        <vt:lpwstr/>
      </vt:variant>
      <vt:variant>
        <vt:lpwstr>_Toc472718965</vt:lpwstr>
      </vt:variant>
      <vt:variant>
        <vt:i4>1638462</vt:i4>
      </vt:variant>
      <vt:variant>
        <vt:i4>113</vt:i4>
      </vt:variant>
      <vt:variant>
        <vt:i4>0</vt:i4>
      </vt:variant>
      <vt:variant>
        <vt:i4>5</vt:i4>
      </vt:variant>
      <vt:variant>
        <vt:lpwstr/>
      </vt:variant>
      <vt:variant>
        <vt:lpwstr>_Toc472718964</vt:lpwstr>
      </vt:variant>
      <vt:variant>
        <vt:i4>1638462</vt:i4>
      </vt:variant>
      <vt:variant>
        <vt:i4>107</vt:i4>
      </vt:variant>
      <vt:variant>
        <vt:i4>0</vt:i4>
      </vt:variant>
      <vt:variant>
        <vt:i4>5</vt:i4>
      </vt:variant>
      <vt:variant>
        <vt:lpwstr/>
      </vt:variant>
      <vt:variant>
        <vt:lpwstr>_Toc472718963</vt:lpwstr>
      </vt:variant>
      <vt:variant>
        <vt:i4>1638462</vt:i4>
      </vt:variant>
      <vt:variant>
        <vt:i4>101</vt:i4>
      </vt:variant>
      <vt:variant>
        <vt:i4>0</vt:i4>
      </vt:variant>
      <vt:variant>
        <vt:i4>5</vt:i4>
      </vt:variant>
      <vt:variant>
        <vt:lpwstr/>
      </vt:variant>
      <vt:variant>
        <vt:lpwstr>_Toc472718962</vt:lpwstr>
      </vt:variant>
      <vt:variant>
        <vt:i4>1638462</vt:i4>
      </vt:variant>
      <vt:variant>
        <vt:i4>95</vt:i4>
      </vt:variant>
      <vt:variant>
        <vt:i4>0</vt:i4>
      </vt:variant>
      <vt:variant>
        <vt:i4>5</vt:i4>
      </vt:variant>
      <vt:variant>
        <vt:lpwstr/>
      </vt:variant>
      <vt:variant>
        <vt:lpwstr>_Toc472718961</vt:lpwstr>
      </vt:variant>
      <vt:variant>
        <vt:i4>1638462</vt:i4>
      </vt:variant>
      <vt:variant>
        <vt:i4>89</vt:i4>
      </vt:variant>
      <vt:variant>
        <vt:i4>0</vt:i4>
      </vt:variant>
      <vt:variant>
        <vt:i4>5</vt:i4>
      </vt:variant>
      <vt:variant>
        <vt:lpwstr/>
      </vt:variant>
      <vt:variant>
        <vt:lpwstr>_Toc472718960</vt:lpwstr>
      </vt:variant>
      <vt:variant>
        <vt:i4>1703998</vt:i4>
      </vt:variant>
      <vt:variant>
        <vt:i4>83</vt:i4>
      </vt:variant>
      <vt:variant>
        <vt:i4>0</vt:i4>
      </vt:variant>
      <vt:variant>
        <vt:i4>5</vt:i4>
      </vt:variant>
      <vt:variant>
        <vt:lpwstr/>
      </vt:variant>
      <vt:variant>
        <vt:lpwstr>_Toc472718959</vt:lpwstr>
      </vt:variant>
      <vt:variant>
        <vt:i4>1703998</vt:i4>
      </vt:variant>
      <vt:variant>
        <vt:i4>77</vt:i4>
      </vt:variant>
      <vt:variant>
        <vt:i4>0</vt:i4>
      </vt:variant>
      <vt:variant>
        <vt:i4>5</vt:i4>
      </vt:variant>
      <vt:variant>
        <vt:lpwstr/>
      </vt:variant>
      <vt:variant>
        <vt:lpwstr>_Toc472718958</vt:lpwstr>
      </vt:variant>
      <vt:variant>
        <vt:i4>1703998</vt:i4>
      </vt:variant>
      <vt:variant>
        <vt:i4>71</vt:i4>
      </vt:variant>
      <vt:variant>
        <vt:i4>0</vt:i4>
      </vt:variant>
      <vt:variant>
        <vt:i4>5</vt:i4>
      </vt:variant>
      <vt:variant>
        <vt:lpwstr/>
      </vt:variant>
      <vt:variant>
        <vt:lpwstr>_Toc472718957</vt:lpwstr>
      </vt:variant>
      <vt:variant>
        <vt:i4>1703998</vt:i4>
      </vt:variant>
      <vt:variant>
        <vt:i4>65</vt:i4>
      </vt:variant>
      <vt:variant>
        <vt:i4>0</vt:i4>
      </vt:variant>
      <vt:variant>
        <vt:i4>5</vt:i4>
      </vt:variant>
      <vt:variant>
        <vt:lpwstr/>
      </vt:variant>
      <vt:variant>
        <vt:lpwstr>_Toc472718956</vt:lpwstr>
      </vt:variant>
      <vt:variant>
        <vt:i4>1703998</vt:i4>
      </vt:variant>
      <vt:variant>
        <vt:i4>59</vt:i4>
      </vt:variant>
      <vt:variant>
        <vt:i4>0</vt:i4>
      </vt:variant>
      <vt:variant>
        <vt:i4>5</vt:i4>
      </vt:variant>
      <vt:variant>
        <vt:lpwstr/>
      </vt:variant>
      <vt:variant>
        <vt:lpwstr>_Toc472718955</vt:lpwstr>
      </vt:variant>
      <vt:variant>
        <vt:i4>1703998</vt:i4>
      </vt:variant>
      <vt:variant>
        <vt:i4>53</vt:i4>
      </vt:variant>
      <vt:variant>
        <vt:i4>0</vt:i4>
      </vt:variant>
      <vt:variant>
        <vt:i4>5</vt:i4>
      </vt:variant>
      <vt:variant>
        <vt:lpwstr/>
      </vt:variant>
      <vt:variant>
        <vt:lpwstr>_Toc472718954</vt:lpwstr>
      </vt:variant>
      <vt:variant>
        <vt:i4>1703998</vt:i4>
      </vt:variant>
      <vt:variant>
        <vt:i4>47</vt:i4>
      </vt:variant>
      <vt:variant>
        <vt:i4>0</vt:i4>
      </vt:variant>
      <vt:variant>
        <vt:i4>5</vt:i4>
      </vt:variant>
      <vt:variant>
        <vt:lpwstr/>
      </vt:variant>
      <vt:variant>
        <vt:lpwstr>_Toc472718953</vt:lpwstr>
      </vt:variant>
      <vt:variant>
        <vt:i4>1703998</vt:i4>
      </vt:variant>
      <vt:variant>
        <vt:i4>41</vt:i4>
      </vt:variant>
      <vt:variant>
        <vt:i4>0</vt:i4>
      </vt:variant>
      <vt:variant>
        <vt:i4>5</vt:i4>
      </vt:variant>
      <vt:variant>
        <vt:lpwstr/>
      </vt:variant>
      <vt:variant>
        <vt:lpwstr>_Toc472718952</vt:lpwstr>
      </vt:variant>
      <vt:variant>
        <vt:i4>1703998</vt:i4>
      </vt:variant>
      <vt:variant>
        <vt:i4>35</vt:i4>
      </vt:variant>
      <vt:variant>
        <vt:i4>0</vt:i4>
      </vt:variant>
      <vt:variant>
        <vt:i4>5</vt:i4>
      </vt:variant>
      <vt:variant>
        <vt:lpwstr/>
      </vt:variant>
      <vt:variant>
        <vt:lpwstr>_Toc472718951</vt:lpwstr>
      </vt:variant>
      <vt:variant>
        <vt:i4>1703998</vt:i4>
      </vt:variant>
      <vt:variant>
        <vt:i4>29</vt:i4>
      </vt:variant>
      <vt:variant>
        <vt:i4>0</vt:i4>
      </vt:variant>
      <vt:variant>
        <vt:i4>5</vt:i4>
      </vt:variant>
      <vt:variant>
        <vt:lpwstr/>
      </vt:variant>
      <vt:variant>
        <vt:lpwstr>_Toc472718950</vt:lpwstr>
      </vt:variant>
      <vt:variant>
        <vt:i4>1769534</vt:i4>
      </vt:variant>
      <vt:variant>
        <vt:i4>23</vt:i4>
      </vt:variant>
      <vt:variant>
        <vt:i4>0</vt:i4>
      </vt:variant>
      <vt:variant>
        <vt:i4>5</vt:i4>
      </vt:variant>
      <vt:variant>
        <vt:lpwstr/>
      </vt:variant>
      <vt:variant>
        <vt:lpwstr>_Toc472718949</vt:lpwstr>
      </vt:variant>
      <vt:variant>
        <vt:i4>1769534</vt:i4>
      </vt:variant>
      <vt:variant>
        <vt:i4>17</vt:i4>
      </vt:variant>
      <vt:variant>
        <vt:i4>0</vt:i4>
      </vt:variant>
      <vt:variant>
        <vt:i4>5</vt:i4>
      </vt:variant>
      <vt:variant>
        <vt:lpwstr/>
      </vt:variant>
      <vt:variant>
        <vt:lpwstr>_Toc472718948</vt:lpwstr>
      </vt:variant>
      <vt:variant>
        <vt:i4>1769534</vt:i4>
      </vt:variant>
      <vt:variant>
        <vt:i4>11</vt:i4>
      </vt:variant>
      <vt:variant>
        <vt:i4>0</vt:i4>
      </vt:variant>
      <vt:variant>
        <vt:i4>5</vt:i4>
      </vt:variant>
      <vt:variant>
        <vt:lpwstr/>
      </vt:variant>
      <vt:variant>
        <vt:lpwstr>_Toc472718947</vt:lpwstr>
      </vt:variant>
      <vt:variant>
        <vt:i4>7733374</vt:i4>
      </vt:variant>
      <vt:variant>
        <vt:i4>6</vt:i4>
      </vt:variant>
      <vt:variant>
        <vt:i4>0</vt:i4>
      </vt:variant>
      <vt:variant>
        <vt:i4>5</vt:i4>
      </vt:variant>
      <vt:variant>
        <vt:lpwstr>http://intersex.shadowreport.org/public/2017-CEDAW-Germany-NGO-Zwischengeschlecht-Intersex-IGM.pdf</vt:lpwstr>
      </vt:variant>
      <vt:variant>
        <vt:lpwstr/>
      </vt:variant>
      <vt:variant>
        <vt:i4>3866678</vt:i4>
      </vt:variant>
      <vt:variant>
        <vt:i4>3</vt:i4>
      </vt:variant>
      <vt:variant>
        <vt:i4>0</vt:i4>
      </vt:variant>
      <vt:variant>
        <vt:i4>5</vt:i4>
      </vt:variant>
      <vt:variant>
        <vt:lpwstr>http://stopigm.org/</vt:lpwstr>
      </vt:variant>
      <vt:variant>
        <vt:lpwstr/>
      </vt:variant>
      <vt:variant>
        <vt:i4>3932286</vt:i4>
      </vt:variant>
      <vt:variant>
        <vt:i4>0</vt:i4>
      </vt:variant>
      <vt:variant>
        <vt:i4>0</vt:i4>
      </vt:variant>
      <vt:variant>
        <vt:i4>5</vt:i4>
      </vt:variant>
      <vt:variant>
        <vt:lpwstr>http://zwischengeschlecht.org/</vt:lpwstr>
      </vt:variant>
      <vt:variant>
        <vt:lpwstr/>
      </vt:variant>
      <vt:variant>
        <vt:i4>720998</vt:i4>
      </vt:variant>
      <vt:variant>
        <vt:i4>93</vt:i4>
      </vt:variant>
      <vt:variant>
        <vt:i4>0</vt:i4>
      </vt:variant>
      <vt:variant>
        <vt:i4>5</vt:i4>
      </vt:variant>
      <vt:variant>
        <vt:lpwstr>http://intersex.shadowreport.org/public/2015-CRPD-LoI-Germany_NGO-Report_Zwischengeschlecht_Intersex-IGM.pdf</vt:lpwstr>
      </vt:variant>
      <vt:variant>
        <vt:lpwstr/>
      </vt:variant>
      <vt:variant>
        <vt:i4>1048660</vt:i4>
      </vt:variant>
      <vt:variant>
        <vt:i4>90</vt:i4>
      </vt:variant>
      <vt:variant>
        <vt:i4>0</vt:i4>
      </vt:variant>
      <vt:variant>
        <vt:i4>5</vt:i4>
      </vt:variant>
      <vt:variant>
        <vt:lpwstr>http://hlcmr.de/wp-content/uploads/2015/01/Working_Paper_Nr.5.pdf</vt:lpwstr>
      </vt:variant>
      <vt:variant>
        <vt:lpwstr/>
      </vt:variant>
      <vt:variant>
        <vt:i4>3604598</vt:i4>
      </vt:variant>
      <vt:variant>
        <vt:i4>87</vt:i4>
      </vt:variant>
      <vt:variant>
        <vt:i4>0</vt:i4>
      </vt:variant>
      <vt:variant>
        <vt:i4>5</vt:i4>
      </vt:variant>
      <vt:variant>
        <vt:lpwstr>http://kastrationsspital.ch/public/19_10_HH_Wortpr_Intersex.pdf</vt:lpwstr>
      </vt:variant>
      <vt:variant>
        <vt:lpwstr/>
      </vt:variant>
      <vt:variant>
        <vt:i4>3538977</vt:i4>
      </vt:variant>
      <vt:variant>
        <vt:i4>84</vt:i4>
      </vt:variant>
      <vt:variant>
        <vt:i4>0</vt:i4>
      </vt:variant>
      <vt:variant>
        <vt:i4>5</vt:i4>
      </vt:variant>
      <vt:variant>
        <vt:lpwstr>http://www.justiz.nrw.de/nrwe/lgs/koeln/lg_koeln/j2009/25_O_179_07schlussurteil20090812.html</vt:lpwstr>
      </vt:variant>
      <vt:variant>
        <vt:lpwstr/>
      </vt:variant>
      <vt:variant>
        <vt:i4>5767217</vt:i4>
      </vt:variant>
      <vt:variant>
        <vt:i4>81</vt:i4>
      </vt:variant>
      <vt:variant>
        <vt:i4>0</vt:i4>
      </vt:variant>
      <vt:variant>
        <vt:i4>5</vt:i4>
      </vt:variant>
      <vt:variant>
        <vt:lpwstr>http://www.justiz.nrw.de/nrwe/olgs/koeln/j2008/5_U_51_08beschluss20080903.html</vt:lpwstr>
      </vt:variant>
      <vt:variant>
        <vt:lpwstr/>
      </vt:variant>
      <vt:variant>
        <vt:i4>7995476</vt:i4>
      </vt:variant>
      <vt:variant>
        <vt:i4>78</vt:i4>
      </vt:variant>
      <vt:variant>
        <vt:i4>0</vt:i4>
      </vt:variant>
      <vt:variant>
        <vt:i4>5</vt:i4>
      </vt:variant>
      <vt:variant>
        <vt:lpwstr>http://www.gleichstellungsministerkonferenz.de/documents/2014_10_13_Beschluesse_GESAMT_Extern.pdf</vt:lpwstr>
      </vt:variant>
      <vt:variant>
        <vt:lpwstr/>
      </vt:variant>
      <vt:variant>
        <vt:i4>720998</vt:i4>
      </vt:variant>
      <vt:variant>
        <vt:i4>75</vt:i4>
      </vt:variant>
      <vt:variant>
        <vt:i4>0</vt:i4>
      </vt:variant>
      <vt:variant>
        <vt:i4>5</vt:i4>
      </vt:variant>
      <vt:variant>
        <vt:lpwstr>http://intersex.shadowreport.org/public/2015-CRPD-LoI-Germany_NGO-Report_Zwischengeschlecht_Intersex-IGM.pdf</vt:lpwstr>
      </vt:variant>
      <vt:variant>
        <vt:lpwstr/>
      </vt:variant>
      <vt:variant>
        <vt:i4>1769501</vt:i4>
      </vt:variant>
      <vt:variant>
        <vt:i4>72</vt:i4>
      </vt:variant>
      <vt:variant>
        <vt:i4>0</vt:i4>
      </vt:variant>
      <vt:variant>
        <vt:i4>5</vt:i4>
      </vt:variant>
      <vt:variant>
        <vt:lpwstr>https://www.bmfsfj.de/blob/112092/46d6be33eb8f2b5d2ee81488da03029c/situation-von-tans--und-intersexuellen-menschen-im-fokus-data.pdf</vt:lpwstr>
      </vt:variant>
      <vt:variant>
        <vt:lpwstr/>
      </vt:variant>
      <vt:variant>
        <vt:i4>720998</vt:i4>
      </vt:variant>
      <vt:variant>
        <vt:i4>69</vt:i4>
      </vt:variant>
      <vt:variant>
        <vt:i4>0</vt:i4>
      </vt:variant>
      <vt:variant>
        <vt:i4>5</vt:i4>
      </vt:variant>
      <vt:variant>
        <vt:lpwstr>http://intersex.shadowreport.org/public/2015-CRPD-LoI-Germany_NGO-Report_Zwischengeschlecht_Intersex-IGM.pdf</vt:lpwstr>
      </vt:variant>
      <vt:variant>
        <vt:lpwstr/>
      </vt:variant>
      <vt:variant>
        <vt:i4>720998</vt:i4>
      </vt:variant>
      <vt:variant>
        <vt:i4>66</vt:i4>
      </vt:variant>
      <vt:variant>
        <vt:i4>0</vt:i4>
      </vt:variant>
      <vt:variant>
        <vt:i4>5</vt:i4>
      </vt:variant>
      <vt:variant>
        <vt:lpwstr>http://intersex.shadowreport.org/public/2015-CRPD-LoI-Germany_NGO-Report_Zwischengeschlecht_Intersex-IGM.pdf</vt:lpwstr>
      </vt:variant>
      <vt:variant>
        <vt:lpwstr/>
      </vt:variant>
      <vt:variant>
        <vt:i4>2555950</vt:i4>
      </vt:variant>
      <vt:variant>
        <vt:i4>63</vt:i4>
      </vt:variant>
      <vt:variant>
        <vt:i4>0</vt:i4>
      </vt:variant>
      <vt:variant>
        <vt:i4>5</vt:i4>
      </vt:variant>
      <vt:variant>
        <vt:lpwstr>http://www.awmf.org/uploads/tx_szleitlinien/174-013l_S1_Adrenogenitales_Syndrom_mit_21_Hydroxylaxe_Defekt_AGS_2015-verlaengert.pdf</vt:lpwstr>
      </vt:variant>
      <vt:variant>
        <vt:lpwstr/>
      </vt:variant>
      <vt:variant>
        <vt:i4>4915261</vt:i4>
      </vt:variant>
      <vt:variant>
        <vt:i4>60</vt:i4>
      </vt:variant>
      <vt:variant>
        <vt:i4>0</vt:i4>
      </vt:variant>
      <vt:variant>
        <vt:i4>5</vt:i4>
      </vt:variant>
      <vt:variant>
        <vt:lpwstr>http://intersex.shadowreport.org/public/2014-CRC-Swiss-NGO-Zwischengeschlecht-Intersex-IGM_v2.pdf</vt:lpwstr>
      </vt:variant>
      <vt:variant>
        <vt:lpwstr/>
      </vt:variant>
      <vt:variant>
        <vt:i4>5636175</vt:i4>
      </vt:variant>
      <vt:variant>
        <vt:i4>57</vt:i4>
      </vt:variant>
      <vt:variant>
        <vt:i4>0</vt:i4>
      </vt:variant>
      <vt:variant>
        <vt:i4>5</vt:i4>
      </vt:variant>
      <vt:variant>
        <vt:lpwstr>http://intersex.shadowreport.org/public/2016-CEDAW-France-NGO-Zwischengeschlecht-Intersex-IGM.pdf</vt:lpwstr>
      </vt:variant>
      <vt:variant>
        <vt:lpwstr/>
      </vt:variant>
      <vt:variant>
        <vt:i4>5636175</vt:i4>
      </vt:variant>
      <vt:variant>
        <vt:i4>54</vt:i4>
      </vt:variant>
      <vt:variant>
        <vt:i4>0</vt:i4>
      </vt:variant>
      <vt:variant>
        <vt:i4>5</vt:i4>
      </vt:variant>
      <vt:variant>
        <vt:lpwstr>http://intersex.shadowreport.org/public/2016-CEDAW-France-NGO-Zwischengeschlecht-Intersex-IGM.pdf</vt:lpwstr>
      </vt:variant>
      <vt:variant>
        <vt:lpwstr/>
      </vt:variant>
      <vt:variant>
        <vt:i4>5046384</vt:i4>
      </vt:variant>
      <vt:variant>
        <vt:i4>51</vt:i4>
      </vt:variant>
      <vt:variant>
        <vt:i4>0</vt:i4>
      </vt:variant>
      <vt:variant>
        <vt:i4>5</vt:i4>
      </vt:variant>
      <vt:variant>
        <vt:lpwstr>https://www.gender.hu-berlin.de/de/publikationen/gender-bulletins/texte-42/kloeppel-2016_zur-aktualitaet-kosmetischer-genitaloperationen</vt:lpwstr>
      </vt:variant>
      <vt:variant>
        <vt:lpwstr/>
      </vt:variant>
      <vt:variant>
        <vt:i4>5636175</vt:i4>
      </vt:variant>
      <vt:variant>
        <vt:i4>48</vt:i4>
      </vt:variant>
      <vt:variant>
        <vt:i4>0</vt:i4>
      </vt:variant>
      <vt:variant>
        <vt:i4>5</vt:i4>
      </vt:variant>
      <vt:variant>
        <vt:lpwstr>http://intersex.shadowreport.org/public/2016-CEDAW-France-NGO-Zwischengeschlecht-Intersex-IGM.pdf</vt:lpwstr>
      </vt:variant>
      <vt:variant>
        <vt:lpwstr/>
      </vt:variant>
      <vt:variant>
        <vt:i4>1769501</vt:i4>
      </vt:variant>
      <vt:variant>
        <vt:i4>45</vt:i4>
      </vt:variant>
      <vt:variant>
        <vt:i4>0</vt:i4>
      </vt:variant>
      <vt:variant>
        <vt:i4>5</vt:i4>
      </vt:variant>
      <vt:variant>
        <vt:lpwstr>https://www.bmfsfj.de/blob/112092/46d6be33eb8f2b5d2ee81488da03029c/situation-von-tans--und-intersexuellen-menschen-im-fokus-data.pdf</vt:lpwstr>
      </vt:variant>
      <vt:variant>
        <vt:lpwstr/>
      </vt:variant>
      <vt:variant>
        <vt:i4>2883647</vt:i4>
      </vt:variant>
      <vt:variant>
        <vt:i4>42</vt:i4>
      </vt:variant>
      <vt:variant>
        <vt:i4>0</vt:i4>
      </vt:variant>
      <vt:variant>
        <vt:i4>5</vt:i4>
      </vt:variant>
      <vt:variant>
        <vt:lpwstr>http://stop.genitalmutilation.org/post/IAD-2016-Soon-20-UN-Reprimands-for-Intersex-Genital-Mutilations</vt:lpwstr>
      </vt:variant>
      <vt:variant>
        <vt:lpwstr/>
      </vt:variant>
      <vt:variant>
        <vt:i4>5636175</vt:i4>
      </vt:variant>
      <vt:variant>
        <vt:i4>39</vt:i4>
      </vt:variant>
      <vt:variant>
        <vt:i4>0</vt:i4>
      </vt:variant>
      <vt:variant>
        <vt:i4>5</vt:i4>
      </vt:variant>
      <vt:variant>
        <vt:lpwstr>http://intersex.shadowreport.org/public/2016-CEDAW-France-NGO-Zwischengeschlecht-Intersex-IGM.pdf</vt:lpwstr>
      </vt:variant>
      <vt:variant>
        <vt:lpwstr/>
      </vt:variant>
      <vt:variant>
        <vt:i4>1179686</vt:i4>
      </vt:variant>
      <vt:variant>
        <vt:i4>36</vt:i4>
      </vt:variant>
      <vt:variant>
        <vt:i4>0</vt:i4>
      </vt:variant>
      <vt:variant>
        <vt:i4>5</vt:i4>
      </vt:variant>
      <vt:variant>
        <vt:lpwstr>http://www.parlament.ch/d/suche/seiten/geschaefte.aspx?gesch_id=20113286</vt:lpwstr>
      </vt:variant>
      <vt:variant>
        <vt:lpwstr/>
      </vt:variant>
      <vt:variant>
        <vt:i4>5570630</vt:i4>
      </vt:variant>
      <vt:variant>
        <vt:i4>33</vt:i4>
      </vt:variant>
      <vt:variant>
        <vt:i4>0</vt:i4>
      </vt:variant>
      <vt:variant>
        <vt:i4>5</vt:i4>
      </vt:variant>
      <vt:variant>
        <vt:lpwstr>http://www.jpurol.com/article/S1477-5131(16)30099-7/</vt:lpwstr>
      </vt:variant>
      <vt:variant>
        <vt:lpwstr/>
      </vt:variant>
      <vt:variant>
        <vt:i4>6094920</vt:i4>
      </vt:variant>
      <vt:variant>
        <vt:i4>30</vt:i4>
      </vt:variant>
      <vt:variant>
        <vt:i4>0</vt:i4>
      </vt:variant>
      <vt:variant>
        <vt:i4>5</vt:i4>
      </vt:variant>
      <vt:variant>
        <vt:lpwstr>http://www.jpurol.com/article/S1477-5131(16)30012-2/</vt:lpwstr>
      </vt:variant>
      <vt:variant>
        <vt:lpwstr/>
      </vt:variant>
      <vt:variant>
        <vt:i4>5636175</vt:i4>
      </vt:variant>
      <vt:variant>
        <vt:i4>27</vt:i4>
      </vt:variant>
      <vt:variant>
        <vt:i4>0</vt:i4>
      </vt:variant>
      <vt:variant>
        <vt:i4>5</vt:i4>
      </vt:variant>
      <vt:variant>
        <vt:lpwstr>http://intersex.shadowreport.org/public/2016-CEDAW-France-NGO-Zwischengeschlecht-Intersex-IGM.pdf</vt:lpwstr>
      </vt:variant>
      <vt:variant>
        <vt:lpwstr/>
      </vt:variant>
      <vt:variant>
        <vt:i4>5636175</vt:i4>
      </vt:variant>
      <vt:variant>
        <vt:i4>24</vt:i4>
      </vt:variant>
      <vt:variant>
        <vt:i4>0</vt:i4>
      </vt:variant>
      <vt:variant>
        <vt:i4>5</vt:i4>
      </vt:variant>
      <vt:variant>
        <vt:lpwstr>http://intersex.shadowreport.org/public/2016-CEDAW-France-NGO-Zwischengeschlecht-Intersex-IGM.pdf</vt:lpwstr>
      </vt:variant>
      <vt:variant>
        <vt:lpwstr/>
      </vt:variant>
      <vt:variant>
        <vt:i4>5636175</vt:i4>
      </vt:variant>
      <vt:variant>
        <vt:i4>21</vt:i4>
      </vt:variant>
      <vt:variant>
        <vt:i4>0</vt:i4>
      </vt:variant>
      <vt:variant>
        <vt:i4>5</vt:i4>
      </vt:variant>
      <vt:variant>
        <vt:lpwstr>http://intersex.shadowreport.org/public/2016-CEDAW-France-NGO-Zwischengeschlecht-Intersex-IGM.pdf</vt:lpwstr>
      </vt:variant>
      <vt:variant>
        <vt:lpwstr/>
      </vt:variant>
      <vt:variant>
        <vt:i4>2752547</vt:i4>
      </vt:variant>
      <vt:variant>
        <vt:i4>18</vt:i4>
      </vt:variant>
      <vt:variant>
        <vt:i4>0</vt:i4>
      </vt:variant>
      <vt:variant>
        <vt:i4>5</vt:i4>
      </vt:variant>
      <vt:variant>
        <vt:lpwstr>http://intersex.shadowreport.org/public/PSWG-CEDAW66-Germany-NGO-Statement-StopIGMorg-DTruffer.pdf</vt:lpwstr>
      </vt:variant>
      <vt:variant>
        <vt:lpwstr/>
      </vt:variant>
      <vt:variant>
        <vt:i4>7798910</vt:i4>
      </vt:variant>
      <vt:variant>
        <vt:i4>15</vt:i4>
      </vt:variant>
      <vt:variant>
        <vt:i4>0</vt:i4>
      </vt:variant>
      <vt:variant>
        <vt:i4>5</vt:i4>
      </vt:variant>
      <vt:variant>
        <vt:lpwstr>http://intersex.shadowreport.org/public/2016-CEDAW-Germany-NGO-Zwischengeschlecht-Intersex-IGM.pdf</vt:lpwstr>
      </vt:variant>
      <vt:variant>
        <vt:lpwstr/>
      </vt:variant>
      <vt:variant>
        <vt:i4>720998</vt:i4>
      </vt:variant>
      <vt:variant>
        <vt:i4>12</vt:i4>
      </vt:variant>
      <vt:variant>
        <vt:i4>0</vt:i4>
      </vt:variant>
      <vt:variant>
        <vt:i4>5</vt:i4>
      </vt:variant>
      <vt:variant>
        <vt:lpwstr>http://intersex.shadowreport.org/public/2015-CRPD-LoI-Germany_NGO-Report_Zwischengeschlecht_Intersex-IGM.pdf</vt:lpwstr>
      </vt:variant>
      <vt:variant>
        <vt:lpwstr/>
      </vt:variant>
      <vt:variant>
        <vt:i4>5636175</vt:i4>
      </vt:variant>
      <vt:variant>
        <vt:i4>9</vt:i4>
      </vt:variant>
      <vt:variant>
        <vt:i4>0</vt:i4>
      </vt:variant>
      <vt:variant>
        <vt:i4>5</vt:i4>
      </vt:variant>
      <vt:variant>
        <vt:lpwstr>http://intersex.shadowreport.org/public/2016-CEDAW-France-NGO-Zwischengeschlecht-Intersex-IGM.pdf</vt:lpwstr>
      </vt:variant>
      <vt:variant>
        <vt:lpwstr/>
      </vt:variant>
      <vt:variant>
        <vt:i4>2424870</vt:i4>
      </vt:variant>
      <vt:variant>
        <vt:i4>6</vt:i4>
      </vt:variant>
      <vt:variant>
        <vt:i4>0</vt:i4>
      </vt:variant>
      <vt:variant>
        <vt:i4>5</vt:i4>
      </vt:variant>
      <vt:variant>
        <vt:lpwstr>http://zwischengeschlecht.org/post/Statuten</vt:lpwstr>
      </vt:variant>
      <vt:variant>
        <vt:lpwstr/>
      </vt:variant>
      <vt:variant>
        <vt:i4>3866678</vt:i4>
      </vt:variant>
      <vt:variant>
        <vt:i4>3</vt:i4>
      </vt:variant>
      <vt:variant>
        <vt:i4>0</vt:i4>
      </vt:variant>
      <vt:variant>
        <vt:i4>5</vt:i4>
      </vt:variant>
      <vt:variant>
        <vt:lpwstr>http://stopigm.org/</vt:lpwstr>
      </vt:variant>
      <vt:variant>
        <vt:lpwstr/>
      </vt:variant>
      <vt:variant>
        <vt:i4>3932286</vt:i4>
      </vt:variant>
      <vt:variant>
        <vt:i4>0</vt:i4>
      </vt:variant>
      <vt:variant>
        <vt:i4>0</vt:i4>
      </vt:variant>
      <vt:variant>
        <vt:i4>5</vt:i4>
      </vt:variant>
      <vt:variant>
        <vt:lpwstr>http://zwischengeschlecht.org/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Intersex Genital Mutilations - CEDAW Austria LOI NGO Report 2018</dc:title>
  <dc:subject>NGO Report (for LOI) to the 9th Periodic Report of Austria on the Convention on the Rights of Persons with Disabilities (CRPD)</dc:subject>
  <dc:creator>cc 2018 StopIGM.org / Zwischengeschlecht.org (Markus Bauer, Daniela Truffer)</dc:creator>
  <cp:lastModifiedBy>Céline Reynaud</cp:lastModifiedBy>
  <cp:revision>2</cp:revision>
  <cp:lastPrinted>2015-03-11T00:53:00Z</cp:lastPrinted>
  <dcterms:created xsi:type="dcterms:W3CDTF">2019-06-12T14:01:00Z</dcterms:created>
  <dcterms:modified xsi:type="dcterms:W3CDTF">2019-06-12T14:01:00Z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0x010100A4CB51DEAB7BC84380640E7EED41B40D</vt:lpwstr>
  </property>
</Properties>
</file>